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B8019" w14:textId="5FF8B88B" w:rsidR="00F907EA" w:rsidRPr="00D32AAE" w:rsidRDefault="00F907EA" w:rsidP="003D5BA0">
      <w:pPr>
        <w:pStyle w:val="Paragraph"/>
        <w:jc w:val="center"/>
        <w:rPr>
          <w:rFonts w:asciiTheme="minorHAnsi" w:hAnsiTheme="minorHAnsi" w:cstheme="minorHAnsi"/>
          <w:b/>
          <w:bCs/>
          <w:i/>
          <w:iCs/>
        </w:rPr>
      </w:pPr>
      <w:r w:rsidRPr="00D32AAE">
        <w:rPr>
          <w:rFonts w:asciiTheme="minorHAnsi" w:hAnsiTheme="minorHAnsi" w:cstheme="minorHAnsi"/>
          <w:b/>
          <w:bCs/>
          <w:i/>
          <w:iCs/>
        </w:rPr>
        <w:t>Compensation in Medical Research</w:t>
      </w:r>
      <w:r w:rsidR="001D2E70">
        <w:rPr>
          <w:rFonts w:asciiTheme="minorHAnsi" w:hAnsiTheme="minorHAnsi" w:cstheme="minorHAnsi"/>
          <w:b/>
          <w:bCs/>
          <w:i/>
          <w:iCs/>
        </w:rPr>
        <w:t>:</w:t>
      </w:r>
      <w:r w:rsidRPr="00D32AAE">
        <w:rPr>
          <w:rFonts w:asciiTheme="minorHAnsi" w:hAnsiTheme="minorHAnsi" w:cstheme="minorHAnsi"/>
          <w:b/>
          <w:bCs/>
          <w:i/>
          <w:iCs/>
        </w:rPr>
        <w:t xml:space="preserve"> </w:t>
      </w:r>
      <w:r w:rsidR="001D2E70">
        <w:rPr>
          <w:rFonts w:asciiTheme="minorHAnsi" w:hAnsiTheme="minorHAnsi" w:cstheme="minorHAnsi"/>
          <w:b/>
          <w:bCs/>
          <w:i/>
          <w:iCs/>
        </w:rPr>
        <w:t>I</w:t>
      </w:r>
      <w:r w:rsidRPr="00D32AAE">
        <w:rPr>
          <w:rFonts w:asciiTheme="minorHAnsi" w:hAnsiTheme="minorHAnsi" w:cstheme="minorHAnsi"/>
          <w:b/>
          <w:bCs/>
          <w:i/>
          <w:iCs/>
        </w:rPr>
        <w:t>s Money the Problem?</w:t>
      </w:r>
    </w:p>
    <w:p w14:paraId="76CE7901" w14:textId="117F8517" w:rsidR="003D5BA0" w:rsidRPr="00D32AAE" w:rsidRDefault="003D5BA0" w:rsidP="003D5BA0">
      <w:pPr>
        <w:pStyle w:val="Keywords"/>
        <w:spacing w:line="480" w:lineRule="auto"/>
        <w:ind w:left="0" w:right="21"/>
        <w:jc w:val="both"/>
        <w:rPr>
          <w:rFonts w:asciiTheme="minorHAnsi" w:hAnsiTheme="minorHAnsi" w:cstheme="minorHAnsi"/>
        </w:rPr>
      </w:pPr>
      <w:r w:rsidRPr="00D32AAE">
        <w:rPr>
          <w:rFonts w:asciiTheme="minorHAnsi" w:hAnsiTheme="minorHAnsi" w:cstheme="minorHAnsi"/>
        </w:rPr>
        <w:tab/>
      </w:r>
      <w:r w:rsidRPr="00D32AAE">
        <w:rPr>
          <w:rFonts w:asciiTheme="minorHAnsi" w:hAnsiTheme="minorHAnsi" w:cstheme="minorHAnsi"/>
        </w:rPr>
        <w:tab/>
      </w:r>
      <w:r w:rsidRPr="00D32AAE">
        <w:rPr>
          <w:rFonts w:asciiTheme="minorHAnsi" w:hAnsiTheme="minorHAnsi" w:cstheme="minorHAnsi"/>
        </w:rPr>
        <w:tab/>
      </w:r>
      <w:r w:rsidRPr="00D32AAE">
        <w:rPr>
          <w:rFonts w:asciiTheme="minorHAnsi" w:hAnsiTheme="minorHAnsi" w:cstheme="minorHAnsi"/>
        </w:rPr>
        <w:tab/>
      </w:r>
      <w:r w:rsidRPr="00D32AAE">
        <w:rPr>
          <w:rFonts w:asciiTheme="minorHAnsi" w:hAnsiTheme="minorHAnsi" w:cstheme="minorHAnsi"/>
        </w:rPr>
        <w:tab/>
        <w:t>Amie Devlin</w:t>
      </w:r>
      <w:r w:rsidR="00FF5384">
        <w:rPr>
          <w:rFonts w:asciiTheme="minorHAnsi" w:hAnsiTheme="minorHAnsi" w:cstheme="minorHAnsi"/>
        </w:rPr>
        <w:t>*</w:t>
      </w:r>
    </w:p>
    <w:p w14:paraId="13183755" w14:textId="0ABD73BD" w:rsidR="003D5BA0" w:rsidRDefault="003D5BA0" w:rsidP="003D5BA0">
      <w:pPr>
        <w:pStyle w:val="Paragraph"/>
        <w:rPr>
          <w:rFonts w:ascii="Calibri Light" w:hAnsi="Calibri Light" w:cs="Calibri Light"/>
          <w:sz w:val="32"/>
          <w:szCs w:val="32"/>
        </w:rPr>
      </w:pPr>
      <w:r w:rsidRPr="003D5BA0">
        <w:rPr>
          <w:rFonts w:ascii="Calibri Light" w:hAnsi="Calibri Light" w:cs="Calibri Light"/>
          <w:sz w:val="32"/>
          <w:szCs w:val="32"/>
        </w:rPr>
        <w:t>A</w:t>
      </w:r>
      <w:r w:rsidR="0099462A">
        <w:rPr>
          <w:rFonts w:ascii="Calibri Light" w:hAnsi="Calibri Light" w:cs="Calibri Light"/>
          <w:sz w:val="32"/>
          <w:szCs w:val="32"/>
        </w:rPr>
        <w:t>BSTRACT</w:t>
      </w:r>
      <w:r w:rsidRPr="003D5BA0">
        <w:rPr>
          <w:rFonts w:ascii="Calibri Light" w:hAnsi="Calibri Light" w:cs="Calibri Light"/>
          <w:sz w:val="32"/>
          <w:szCs w:val="32"/>
        </w:rPr>
        <w:t xml:space="preserve"> </w:t>
      </w:r>
    </w:p>
    <w:p w14:paraId="18D184AD" w14:textId="77777777" w:rsidR="001D2E70" w:rsidRPr="001D2E70" w:rsidRDefault="001D2E70" w:rsidP="001D2E70">
      <w:pPr>
        <w:pStyle w:val="Newparagraph"/>
      </w:pPr>
    </w:p>
    <w:p w14:paraId="0BAA951F" w14:textId="378143B8" w:rsidR="0099462A" w:rsidRDefault="00AC5059" w:rsidP="00FF5384">
      <w:pPr>
        <w:spacing w:line="276" w:lineRule="auto"/>
        <w:ind w:left="720"/>
        <w:jc w:val="center"/>
        <w:rPr>
          <w:rFonts w:asciiTheme="minorHAnsi" w:hAnsiTheme="minorHAnsi" w:cstheme="minorHAnsi"/>
          <w:i/>
          <w:iCs/>
          <w:sz w:val="20"/>
          <w:szCs w:val="20"/>
          <w:lang w:val="en-US"/>
        </w:rPr>
      </w:pPr>
      <w:r w:rsidRPr="001D2E70">
        <w:rPr>
          <w:rFonts w:asciiTheme="minorHAnsi" w:hAnsiTheme="minorHAnsi" w:cstheme="minorHAnsi"/>
          <w:i/>
          <w:iCs/>
          <w:sz w:val="20"/>
          <w:szCs w:val="20"/>
          <w:lang w:val="en-US"/>
        </w:rPr>
        <w:t xml:space="preserve">The ethics of </w:t>
      </w:r>
      <w:r w:rsidR="00D87288" w:rsidRPr="001D2E70">
        <w:rPr>
          <w:rFonts w:asciiTheme="minorHAnsi" w:hAnsiTheme="minorHAnsi" w:cstheme="minorHAnsi"/>
          <w:i/>
          <w:iCs/>
          <w:sz w:val="20"/>
          <w:szCs w:val="20"/>
          <w:lang w:val="en-US"/>
        </w:rPr>
        <w:t>compensating research participants</w:t>
      </w:r>
      <w:r w:rsidRPr="001D2E70">
        <w:rPr>
          <w:rFonts w:asciiTheme="minorHAnsi" w:hAnsiTheme="minorHAnsi" w:cstheme="minorHAnsi"/>
          <w:i/>
          <w:iCs/>
          <w:sz w:val="20"/>
          <w:szCs w:val="20"/>
          <w:lang w:val="en-US"/>
        </w:rPr>
        <w:t xml:space="preserve"> is perpetually debated, with opponents claiming that compensation is coercive. Yet coercive financial arrangements are commonplace, such as in the labor market where employees perform tasks in exchange for money. This article compares research participation to another risky profession – firefighting</w:t>
      </w:r>
      <w:r w:rsidR="0099462A">
        <w:rPr>
          <w:rFonts w:asciiTheme="minorHAnsi" w:hAnsiTheme="minorHAnsi" w:cstheme="minorHAnsi"/>
          <w:i/>
          <w:iCs/>
          <w:sz w:val="20"/>
          <w:szCs w:val="20"/>
          <w:lang w:val="en-US"/>
        </w:rPr>
        <w:t xml:space="preserve"> by examining f</w:t>
      </w:r>
      <w:r w:rsidRPr="001D2E70">
        <w:rPr>
          <w:rFonts w:asciiTheme="minorHAnsi" w:hAnsiTheme="minorHAnsi" w:cstheme="minorHAnsi"/>
          <w:i/>
          <w:iCs/>
          <w:sz w:val="20"/>
          <w:szCs w:val="20"/>
          <w:lang w:val="en-US"/>
        </w:rPr>
        <w:t>our key areas</w:t>
      </w:r>
      <w:r w:rsidR="0099462A">
        <w:rPr>
          <w:rFonts w:asciiTheme="minorHAnsi" w:hAnsiTheme="minorHAnsi" w:cstheme="minorHAnsi"/>
          <w:i/>
          <w:iCs/>
          <w:sz w:val="20"/>
          <w:szCs w:val="20"/>
          <w:lang w:val="en-US"/>
        </w:rPr>
        <w:t>:</w:t>
      </w:r>
      <w:r w:rsidRPr="001D2E70">
        <w:rPr>
          <w:rFonts w:asciiTheme="minorHAnsi" w:hAnsiTheme="minorHAnsi" w:cstheme="minorHAnsi"/>
          <w:i/>
          <w:iCs/>
          <w:sz w:val="20"/>
          <w:szCs w:val="20"/>
          <w:lang w:val="en-US"/>
        </w:rPr>
        <w:t xml:space="preserve"> risk</w:t>
      </w:r>
      <w:r w:rsidR="00D87288" w:rsidRPr="001D2E70">
        <w:rPr>
          <w:rFonts w:asciiTheme="minorHAnsi" w:hAnsiTheme="minorHAnsi" w:cstheme="minorHAnsi"/>
          <w:i/>
          <w:iCs/>
          <w:sz w:val="20"/>
          <w:szCs w:val="20"/>
          <w:lang w:val="en-US"/>
        </w:rPr>
        <w:t xml:space="preserve"> level</w:t>
      </w:r>
      <w:r w:rsidRPr="001D2E70">
        <w:rPr>
          <w:rFonts w:asciiTheme="minorHAnsi" w:hAnsiTheme="minorHAnsi" w:cstheme="minorHAnsi"/>
          <w:i/>
          <w:iCs/>
          <w:sz w:val="20"/>
          <w:szCs w:val="20"/>
          <w:lang w:val="en-US"/>
        </w:rPr>
        <w:t xml:space="preserve">, motivations, worker protections, </w:t>
      </w:r>
      <w:r w:rsidR="0099462A">
        <w:rPr>
          <w:rFonts w:asciiTheme="minorHAnsi" w:hAnsiTheme="minorHAnsi" w:cstheme="minorHAnsi"/>
          <w:i/>
          <w:iCs/>
          <w:sz w:val="20"/>
          <w:szCs w:val="20"/>
          <w:lang w:val="en-US"/>
        </w:rPr>
        <w:t xml:space="preserve">and </w:t>
      </w:r>
      <w:r w:rsidRPr="001D2E70">
        <w:rPr>
          <w:rFonts w:asciiTheme="minorHAnsi" w:hAnsiTheme="minorHAnsi" w:cstheme="minorHAnsi"/>
          <w:i/>
          <w:iCs/>
          <w:sz w:val="20"/>
          <w:szCs w:val="20"/>
          <w:lang w:val="en-US"/>
        </w:rPr>
        <w:t xml:space="preserve">societal benefits. While firefighting is heralded as a noble profession, </w:t>
      </w:r>
      <w:r w:rsidR="00FF5384">
        <w:rPr>
          <w:rFonts w:asciiTheme="minorHAnsi" w:hAnsiTheme="minorHAnsi" w:cstheme="minorHAnsi"/>
          <w:i/>
          <w:iCs/>
          <w:sz w:val="20"/>
          <w:szCs w:val="20"/>
          <w:lang w:val="en-US"/>
        </w:rPr>
        <w:t xml:space="preserve">compensation for </w:t>
      </w:r>
      <w:r w:rsidRPr="001D2E70">
        <w:rPr>
          <w:rFonts w:asciiTheme="minorHAnsi" w:hAnsiTheme="minorHAnsi" w:cstheme="minorHAnsi"/>
          <w:i/>
          <w:iCs/>
          <w:sz w:val="20"/>
          <w:szCs w:val="20"/>
          <w:lang w:val="en-US"/>
        </w:rPr>
        <w:t>pa</w:t>
      </w:r>
      <w:r w:rsidR="00FF5384">
        <w:rPr>
          <w:rFonts w:asciiTheme="minorHAnsi" w:hAnsiTheme="minorHAnsi" w:cstheme="minorHAnsi"/>
          <w:i/>
          <w:iCs/>
          <w:sz w:val="20"/>
          <w:szCs w:val="20"/>
          <w:lang w:val="en-US"/>
        </w:rPr>
        <w:t>rticipating in</w:t>
      </w:r>
      <w:r w:rsidRPr="001D2E70">
        <w:rPr>
          <w:rFonts w:asciiTheme="minorHAnsi" w:hAnsiTheme="minorHAnsi" w:cstheme="minorHAnsi"/>
          <w:i/>
          <w:iCs/>
          <w:sz w:val="20"/>
          <w:szCs w:val="20"/>
          <w:lang w:val="en-US"/>
        </w:rPr>
        <w:t xml:space="preserve"> </w:t>
      </w:r>
      <w:r w:rsidR="00D87288" w:rsidRPr="001D2E70">
        <w:rPr>
          <w:rFonts w:asciiTheme="minorHAnsi" w:hAnsiTheme="minorHAnsi" w:cstheme="minorHAnsi"/>
          <w:i/>
          <w:iCs/>
          <w:sz w:val="20"/>
          <w:szCs w:val="20"/>
          <w:lang w:val="en-US"/>
        </w:rPr>
        <w:t xml:space="preserve">research </w:t>
      </w:r>
      <w:r w:rsidR="00FF5384">
        <w:rPr>
          <w:rFonts w:asciiTheme="minorHAnsi" w:hAnsiTheme="minorHAnsi" w:cstheme="minorHAnsi"/>
          <w:i/>
          <w:iCs/>
          <w:sz w:val="20"/>
          <w:szCs w:val="20"/>
          <w:lang w:val="en-US"/>
        </w:rPr>
        <w:t>is</w:t>
      </w:r>
      <w:r w:rsidRPr="001D2E70">
        <w:rPr>
          <w:rFonts w:asciiTheme="minorHAnsi" w:hAnsiTheme="minorHAnsi" w:cstheme="minorHAnsi"/>
          <w:i/>
          <w:iCs/>
          <w:sz w:val="20"/>
          <w:szCs w:val="20"/>
          <w:lang w:val="en-US"/>
        </w:rPr>
        <w:t xml:space="preserve"> looked upon with scorn. </w:t>
      </w:r>
      <w:r w:rsidR="00D87288" w:rsidRPr="001D2E70">
        <w:rPr>
          <w:rFonts w:asciiTheme="minorHAnsi" w:hAnsiTheme="minorHAnsi" w:cstheme="minorHAnsi"/>
          <w:i/>
          <w:iCs/>
          <w:sz w:val="20"/>
          <w:szCs w:val="20"/>
          <w:lang w:val="en-US"/>
        </w:rPr>
        <w:t xml:space="preserve">To protect participant autonomy and avoid paternalism, </w:t>
      </w:r>
      <w:r w:rsidRPr="001D2E70">
        <w:rPr>
          <w:rFonts w:asciiTheme="minorHAnsi" w:hAnsiTheme="minorHAnsi" w:cstheme="minorHAnsi"/>
          <w:i/>
          <w:iCs/>
          <w:sz w:val="20"/>
          <w:szCs w:val="20"/>
          <w:lang w:val="en-US"/>
        </w:rPr>
        <w:t>participants must also make their own decisions</w:t>
      </w:r>
      <w:r w:rsidR="00D87288" w:rsidRPr="001D2E70">
        <w:rPr>
          <w:rFonts w:asciiTheme="minorHAnsi" w:hAnsiTheme="minorHAnsi" w:cstheme="minorHAnsi"/>
          <w:i/>
          <w:iCs/>
          <w:sz w:val="20"/>
          <w:szCs w:val="20"/>
          <w:lang w:val="en-US"/>
        </w:rPr>
        <w:t xml:space="preserve">, </w:t>
      </w:r>
      <w:r w:rsidRPr="001D2E70">
        <w:rPr>
          <w:rFonts w:asciiTheme="minorHAnsi" w:hAnsiTheme="minorHAnsi" w:cstheme="minorHAnsi"/>
          <w:i/>
          <w:iCs/>
          <w:sz w:val="20"/>
          <w:szCs w:val="20"/>
          <w:lang w:val="en-US"/>
        </w:rPr>
        <w:t xml:space="preserve">even if that decision is to participate in exchange for </w:t>
      </w:r>
      <w:r w:rsidR="00D87288" w:rsidRPr="001D2E70">
        <w:rPr>
          <w:rFonts w:asciiTheme="minorHAnsi" w:hAnsiTheme="minorHAnsi" w:cstheme="minorHAnsi"/>
          <w:i/>
          <w:iCs/>
          <w:sz w:val="20"/>
          <w:szCs w:val="20"/>
          <w:lang w:val="en-US"/>
        </w:rPr>
        <w:t>money</w:t>
      </w:r>
      <w:r w:rsidRPr="001D2E70">
        <w:rPr>
          <w:rFonts w:asciiTheme="minorHAnsi" w:hAnsiTheme="minorHAnsi" w:cstheme="minorHAnsi"/>
          <w:i/>
          <w:iCs/>
          <w:sz w:val="20"/>
          <w:szCs w:val="20"/>
          <w:lang w:val="en-US"/>
        </w:rPr>
        <w:t>.</w:t>
      </w:r>
    </w:p>
    <w:p w14:paraId="49C07EF3" w14:textId="77777777" w:rsidR="0099462A" w:rsidRDefault="0099462A" w:rsidP="0099462A">
      <w:pPr>
        <w:spacing w:line="276" w:lineRule="auto"/>
        <w:jc w:val="center"/>
        <w:rPr>
          <w:rFonts w:asciiTheme="minorHAnsi" w:hAnsiTheme="minorHAnsi" w:cstheme="minorHAnsi"/>
          <w:i/>
          <w:iCs/>
          <w:sz w:val="20"/>
          <w:szCs w:val="20"/>
          <w:lang w:val="en-US"/>
        </w:rPr>
      </w:pPr>
    </w:p>
    <w:p w14:paraId="53A52DA8" w14:textId="35C92FD4" w:rsidR="0099462A" w:rsidRDefault="0099462A" w:rsidP="0099462A">
      <w:pPr>
        <w:spacing w:line="276" w:lineRule="auto"/>
        <w:jc w:val="center"/>
        <w:rPr>
          <w:rFonts w:asciiTheme="minorHAnsi" w:hAnsiTheme="minorHAnsi" w:cstheme="minorHAnsi"/>
          <w:i/>
          <w:iCs/>
          <w:sz w:val="20"/>
          <w:szCs w:val="20"/>
          <w:lang w:val="en-US"/>
        </w:rPr>
      </w:pPr>
    </w:p>
    <w:p w14:paraId="023C95C3" w14:textId="694A00BA" w:rsidR="00A62414" w:rsidRDefault="00A62414" w:rsidP="0099462A">
      <w:pPr>
        <w:spacing w:line="276" w:lineRule="auto"/>
        <w:jc w:val="center"/>
        <w:rPr>
          <w:rFonts w:asciiTheme="minorHAnsi" w:hAnsiTheme="minorHAnsi" w:cstheme="minorHAnsi"/>
          <w:i/>
          <w:iCs/>
          <w:sz w:val="20"/>
          <w:szCs w:val="20"/>
          <w:lang w:val="en-US"/>
        </w:rPr>
      </w:pPr>
    </w:p>
    <w:p w14:paraId="570AC3D3" w14:textId="530767D8" w:rsidR="00A62414" w:rsidRDefault="00A62414" w:rsidP="0099462A">
      <w:pPr>
        <w:spacing w:line="276" w:lineRule="auto"/>
        <w:jc w:val="center"/>
        <w:rPr>
          <w:rFonts w:asciiTheme="minorHAnsi" w:hAnsiTheme="minorHAnsi" w:cstheme="minorHAnsi"/>
          <w:i/>
          <w:iCs/>
          <w:sz w:val="20"/>
          <w:szCs w:val="20"/>
          <w:lang w:val="en-US"/>
        </w:rPr>
      </w:pPr>
    </w:p>
    <w:p w14:paraId="5E279C6A" w14:textId="30A86B45" w:rsidR="00A62414" w:rsidRDefault="00A62414" w:rsidP="0099462A">
      <w:pPr>
        <w:spacing w:line="276" w:lineRule="auto"/>
        <w:jc w:val="center"/>
        <w:rPr>
          <w:rFonts w:asciiTheme="minorHAnsi" w:hAnsiTheme="minorHAnsi" w:cstheme="minorHAnsi"/>
          <w:i/>
          <w:iCs/>
          <w:sz w:val="20"/>
          <w:szCs w:val="20"/>
          <w:lang w:val="en-US"/>
        </w:rPr>
      </w:pPr>
    </w:p>
    <w:p w14:paraId="48280AF6" w14:textId="4339517D" w:rsidR="00A62414" w:rsidRDefault="00A62414" w:rsidP="0099462A">
      <w:pPr>
        <w:spacing w:line="276" w:lineRule="auto"/>
        <w:jc w:val="center"/>
        <w:rPr>
          <w:rFonts w:asciiTheme="minorHAnsi" w:hAnsiTheme="minorHAnsi" w:cstheme="minorHAnsi"/>
          <w:i/>
          <w:iCs/>
          <w:sz w:val="20"/>
          <w:szCs w:val="20"/>
          <w:lang w:val="en-US"/>
        </w:rPr>
      </w:pPr>
    </w:p>
    <w:p w14:paraId="08F80540" w14:textId="2DEE1DC0" w:rsidR="00A62414" w:rsidRDefault="00A62414" w:rsidP="0099462A">
      <w:pPr>
        <w:spacing w:line="276" w:lineRule="auto"/>
        <w:jc w:val="center"/>
        <w:rPr>
          <w:rFonts w:asciiTheme="minorHAnsi" w:hAnsiTheme="minorHAnsi" w:cstheme="minorHAnsi"/>
          <w:i/>
          <w:iCs/>
          <w:sz w:val="20"/>
          <w:szCs w:val="20"/>
          <w:lang w:val="en-US"/>
        </w:rPr>
      </w:pPr>
    </w:p>
    <w:p w14:paraId="22F81CC1" w14:textId="77777777" w:rsidR="00A62414" w:rsidRDefault="00A62414" w:rsidP="0099462A">
      <w:pPr>
        <w:spacing w:line="276" w:lineRule="auto"/>
        <w:jc w:val="center"/>
        <w:rPr>
          <w:rFonts w:asciiTheme="minorHAnsi" w:hAnsiTheme="minorHAnsi" w:cstheme="minorHAnsi"/>
          <w:i/>
          <w:iCs/>
          <w:sz w:val="20"/>
          <w:szCs w:val="20"/>
          <w:lang w:val="en-US"/>
        </w:rPr>
      </w:pPr>
    </w:p>
    <w:p w14:paraId="55A00493" w14:textId="78D30CF6" w:rsidR="003D5BA0" w:rsidRPr="0099462A" w:rsidRDefault="003D5BA0" w:rsidP="0099462A">
      <w:pPr>
        <w:spacing w:line="276" w:lineRule="auto"/>
        <w:rPr>
          <w:rFonts w:asciiTheme="minorHAnsi" w:hAnsiTheme="minorHAnsi" w:cstheme="minorHAnsi"/>
          <w:b/>
          <w:bCs/>
          <w:i/>
          <w:iCs/>
          <w:sz w:val="20"/>
          <w:szCs w:val="20"/>
          <w:lang w:val="en-US"/>
        </w:rPr>
      </w:pPr>
      <w:r w:rsidRPr="003D5BA0">
        <w:rPr>
          <w:rFonts w:ascii="Calibri Light" w:hAnsi="Calibri Light" w:cs="Calibri Light"/>
          <w:sz w:val="32"/>
          <w:szCs w:val="32"/>
        </w:rPr>
        <w:t>I</w:t>
      </w:r>
      <w:r w:rsidR="0099462A">
        <w:rPr>
          <w:rFonts w:ascii="Calibri Light" w:hAnsi="Calibri Light" w:cs="Calibri Light"/>
          <w:sz w:val="32"/>
          <w:szCs w:val="32"/>
        </w:rPr>
        <w:t>NTRODUCTION</w:t>
      </w:r>
      <w:r w:rsidRPr="003D5BA0">
        <w:rPr>
          <w:rFonts w:ascii="Calibri Light" w:hAnsi="Calibri Light" w:cs="Calibri Light"/>
          <w:sz w:val="32"/>
          <w:szCs w:val="32"/>
        </w:rPr>
        <w:t xml:space="preserve"> </w:t>
      </w:r>
    </w:p>
    <w:p w14:paraId="6A526E89" w14:textId="7734F4DE" w:rsidR="00C80710" w:rsidRDefault="00CF20BD" w:rsidP="0099462A">
      <w:pPr>
        <w:pStyle w:val="Keywords"/>
        <w:spacing w:line="240" w:lineRule="auto"/>
        <w:ind w:right="21"/>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 xml:space="preserve">When reviewing </w:t>
      </w:r>
      <w:r w:rsidR="00F907EA" w:rsidRPr="003D5BA0">
        <w:rPr>
          <w:rFonts w:asciiTheme="minorHAnsi" w:hAnsiTheme="minorHAnsi" w:cstheme="minorHAnsi"/>
          <w:sz w:val="20"/>
          <w:szCs w:val="20"/>
          <w:lang w:val="en-US"/>
        </w:rPr>
        <w:t xml:space="preserve">research </w:t>
      </w:r>
      <w:r w:rsidRPr="003D5BA0">
        <w:rPr>
          <w:rFonts w:asciiTheme="minorHAnsi" w:hAnsiTheme="minorHAnsi" w:cstheme="minorHAnsi"/>
          <w:sz w:val="20"/>
          <w:szCs w:val="20"/>
          <w:lang w:val="en-US"/>
        </w:rPr>
        <w:t xml:space="preserve">protocols, </w:t>
      </w:r>
      <w:r w:rsidR="001B7E41" w:rsidRPr="003D5BA0">
        <w:rPr>
          <w:rFonts w:asciiTheme="minorHAnsi" w:hAnsiTheme="minorHAnsi" w:cstheme="minorHAnsi"/>
          <w:sz w:val="20"/>
          <w:szCs w:val="20"/>
          <w:lang w:val="en-US"/>
        </w:rPr>
        <w:t>Institutional Review Board (</w:t>
      </w:r>
      <w:r w:rsidRPr="003D5BA0">
        <w:rPr>
          <w:rFonts w:asciiTheme="minorHAnsi" w:hAnsiTheme="minorHAnsi" w:cstheme="minorHAnsi"/>
          <w:sz w:val="20"/>
          <w:szCs w:val="20"/>
          <w:lang w:val="en-US"/>
        </w:rPr>
        <w:t>IRB</w:t>
      </w:r>
      <w:r w:rsidR="001B7E41" w:rsidRPr="003D5BA0">
        <w:rPr>
          <w:rFonts w:asciiTheme="minorHAnsi" w:hAnsiTheme="minorHAnsi" w:cstheme="minorHAnsi"/>
          <w:sz w:val="20"/>
          <w:szCs w:val="20"/>
          <w:lang w:val="en-US"/>
        </w:rPr>
        <w:t>)</w:t>
      </w:r>
      <w:r w:rsidRPr="003D5BA0">
        <w:rPr>
          <w:rFonts w:asciiTheme="minorHAnsi" w:hAnsiTheme="minorHAnsi" w:cstheme="minorHAnsi"/>
          <w:sz w:val="20"/>
          <w:szCs w:val="20"/>
          <w:lang w:val="en-US"/>
        </w:rPr>
        <w:t xml:space="preserve"> members determi</w:t>
      </w:r>
      <w:r w:rsidR="00F907EA" w:rsidRPr="003D5BA0">
        <w:rPr>
          <w:rFonts w:asciiTheme="minorHAnsi" w:hAnsiTheme="minorHAnsi" w:cstheme="minorHAnsi"/>
          <w:sz w:val="20"/>
          <w:szCs w:val="20"/>
          <w:lang w:val="en-US"/>
        </w:rPr>
        <w:t>ne</w:t>
      </w:r>
      <w:r w:rsidRPr="003D5BA0">
        <w:rPr>
          <w:rFonts w:asciiTheme="minorHAnsi" w:hAnsiTheme="minorHAnsi" w:cstheme="minorHAnsi"/>
          <w:sz w:val="20"/>
          <w:szCs w:val="20"/>
          <w:lang w:val="en-US"/>
        </w:rPr>
        <w:t xml:space="preserve"> whether an investigator has selected an appropriate level of compensation for study participa</w:t>
      </w:r>
      <w:r w:rsidR="00BA0E6C" w:rsidRPr="003D5BA0">
        <w:rPr>
          <w:rFonts w:asciiTheme="minorHAnsi" w:hAnsiTheme="minorHAnsi" w:cstheme="minorHAnsi"/>
          <w:sz w:val="20"/>
          <w:szCs w:val="20"/>
          <w:lang w:val="en-US"/>
        </w:rPr>
        <w:t>nts</w:t>
      </w:r>
      <w:r w:rsidRPr="003D5BA0">
        <w:rPr>
          <w:rFonts w:asciiTheme="minorHAnsi" w:hAnsiTheme="minorHAnsi" w:cstheme="minorHAnsi"/>
          <w:sz w:val="20"/>
          <w:szCs w:val="20"/>
          <w:lang w:val="en-US"/>
        </w:rPr>
        <w:t xml:space="preserve">. </w:t>
      </w:r>
      <w:r w:rsidR="00BA0E6C" w:rsidRPr="003D5BA0">
        <w:rPr>
          <w:rFonts w:asciiTheme="minorHAnsi" w:hAnsiTheme="minorHAnsi" w:cstheme="minorHAnsi"/>
          <w:sz w:val="20"/>
          <w:szCs w:val="20"/>
          <w:lang w:val="en-US"/>
        </w:rPr>
        <w:t>One of the</w:t>
      </w:r>
      <w:r w:rsidR="00BC34A8" w:rsidRPr="003D5BA0">
        <w:rPr>
          <w:rFonts w:asciiTheme="minorHAnsi" w:hAnsiTheme="minorHAnsi" w:cstheme="minorHAnsi"/>
          <w:sz w:val="20"/>
          <w:szCs w:val="20"/>
          <w:lang w:val="en-US"/>
        </w:rPr>
        <w:t xml:space="preserve"> argument</w:t>
      </w:r>
      <w:r w:rsidR="00BA0E6C" w:rsidRPr="003D5BA0">
        <w:rPr>
          <w:rFonts w:asciiTheme="minorHAnsi" w:hAnsiTheme="minorHAnsi" w:cstheme="minorHAnsi"/>
          <w:sz w:val="20"/>
          <w:szCs w:val="20"/>
          <w:lang w:val="en-US"/>
        </w:rPr>
        <w:t>s</w:t>
      </w:r>
      <w:r w:rsidR="00BC34A8" w:rsidRPr="003D5BA0">
        <w:rPr>
          <w:rFonts w:asciiTheme="minorHAnsi" w:hAnsiTheme="minorHAnsi" w:cstheme="minorHAnsi"/>
          <w:sz w:val="20"/>
          <w:szCs w:val="20"/>
          <w:lang w:val="en-US"/>
        </w:rPr>
        <w:t xml:space="preserve"> against providing too high a level of compensation is that </w:t>
      </w:r>
      <w:r w:rsidR="003404A8" w:rsidRPr="003D5BA0">
        <w:rPr>
          <w:rFonts w:asciiTheme="minorHAnsi" w:hAnsiTheme="minorHAnsi" w:cstheme="minorHAnsi"/>
          <w:sz w:val="20"/>
          <w:szCs w:val="20"/>
          <w:lang w:val="en-US"/>
        </w:rPr>
        <w:t xml:space="preserve">the promise of financial gain will entice a potential participant to make a different decision than </w:t>
      </w:r>
      <w:r w:rsidR="00F907EA" w:rsidRPr="003D5BA0">
        <w:rPr>
          <w:rFonts w:asciiTheme="minorHAnsi" w:hAnsiTheme="minorHAnsi" w:cstheme="minorHAnsi"/>
          <w:sz w:val="20"/>
          <w:szCs w:val="20"/>
          <w:lang w:val="en-US"/>
        </w:rPr>
        <w:t>what</w:t>
      </w:r>
      <w:r w:rsidR="003404A8" w:rsidRPr="003D5BA0">
        <w:rPr>
          <w:rFonts w:asciiTheme="minorHAnsi" w:hAnsiTheme="minorHAnsi" w:cstheme="minorHAnsi"/>
          <w:sz w:val="20"/>
          <w:szCs w:val="20"/>
          <w:lang w:val="en-US"/>
        </w:rPr>
        <w:t xml:space="preserve"> they would have made in the absence of compensation. </w:t>
      </w:r>
      <w:r w:rsidR="00BE005D" w:rsidRPr="003D5BA0">
        <w:rPr>
          <w:rFonts w:asciiTheme="minorHAnsi" w:hAnsiTheme="minorHAnsi" w:cstheme="minorHAnsi"/>
          <w:sz w:val="20"/>
          <w:szCs w:val="20"/>
          <w:lang w:val="en-US"/>
        </w:rPr>
        <w:t>P</w:t>
      </w:r>
      <w:r w:rsidR="003404A8" w:rsidRPr="003D5BA0">
        <w:rPr>
          <w:rFonts w:asciiTheme="minorHAnsi" w:hAnsiTheme="minorHAnsi" w:cstheme="minorHAnsi"/>
          <w:sz w:val="20"/>
          <w:szCs w:val="20"/>
          <w:lang w:val="en-US"/>
        </w:rPr>
        <w:t>erhaps the debate should not be whether money change</w:t>
      </w:r>
      <w:r w:rsidR="00F907EA" w:rsidRPr="003D5BA0">
        <w:rPr>
          <w:rFonts w:asciiTheme="minorHAnsi" w:hAnsiTheme="minorHAnsi" w:cstheme="minorHAnsi"/>
          <w:sz w:val="20"/>
          <w:szCs w:val="20"/>
          <w:lang w:val="en-US"/>
        </w:rPr>
        <w:t>s</w:t>
      </w:r>
      <w:r w:rsidR="003404A8" w:rsidRPr="003D5BA0">
        <w:rPr>
          <w:rFonts w:asciiTheme="minorHAnsi" w:hAnsiTheme="minorHAnsi" w:cstheme="minorHAnsi"/>
          <w:sz w:val="20"/>
          <w:szCs w:val="20"/>
          <w:lang w:val="en-US"/>
        </w:rPr>
        <w:t xml:space="preserve"> a person’s behavior, but whether it is unethical </w:t>
      </w:r>
      <w:r w:rsidR="00F907EA" w:rsidRPr="003D5BA0">
        <w:rPr>
          <w:rFonts w:asciiTheme="minorHAnsi" w:hAnsiTheme="minorHAnsi" w:cstheme="minorHAnsi"/>
          <w:sz w:val="20"/>
          <w:szCs w:val="20"/>
          <w:lang w:val="en-US"/>
        </w:rPr>
        <w:t>that</w:t>
      </w:r>
      <w:r w:rsidR="003404A8" w:rsidRPr="003D5BA0">
        <w:rPr>
          <w:rFonts w:asciiTheme="minorHAnsi" w:hAnsiTheme="minorHAnsi" w:cstheme="minorHAnsi"/>
          <w:sz w:val="20"/>
          <w:szCs w:val="20"/>
          <w:lang w:val="en-US"/>
        </w:rPr>
        <w:t xml:space="preserve"> money</w:t>
      </w:r>
      <w:r w:rsidR="00F907EA" w:rsidRPr="003D5BA0">
        <w:rPr>
          <w:rFonts w:asciiTheme="minorHAnsi" w:hAnsiTheme="minorHAnsi" w:cstheme="minorHAnsi"/>
          <w:sz w:val="20"/>
          <w:szCs w:val="20"/>
          <w:lang w:val="en-US"/>
        </w:rPr>
        <w:t xml:space="preserve"> have that </w:t>
      </w:r>
      <w:r w:rsidR="00FF5384">
        <w:rPr>
          <w:rFonts w:asciiTheme="minorHAnsi" w:hAnsiTheme="minorHAnsi" w:cstheme="minorHAnsi"/>
          <w:sz w:val="20"/>
          <w:szCs w:val="20"/>
          <w:lang w:val="en-US"/>
        </w:rPr>
        <w:t>e</w:t>
      </w:r>
      <w:r w:rsidR="00F907EA" w:rsidRPr="003D5BA0">
        <w:rPr>
          <w:rFonts w:asciiTheme="minorHAnsi" w:hAnsiTheme="minorHAnsi" w:cstheme="minorHAnsi"/>
          <w:sz w:val="20"/>
          <w:szCs w:val="20"/>
          <w:lang w:val="en-US"/>
        </w:rPr>
        <w:t>ffect</w:t>
      </w:r>
      <w:r w:rsidR="001D2E70">
        <w:rPr>
          <w:rFonts w:asciiTheme="minorHAnsi" w:hAnsiTheme="minorHAnsi" w:cstheme="minorHAnsi"/>
          <w:sz w:val="20"/>
          <w:szCs w:val="20"/>
          <w:lang w:val="en-US"/>
        </w:rPr>
        <w:t>.</w:t>
      </w:r>
    </w:p>
    <w:p w14:paraId="57F0A9EE" w14:textId="77777777" w:rsidR="00241A41" w:rsidRPr="00241A41" w:rsidRDefault="00241A41" w:rsidP="00241A41">
      <w:pPr>
        <w:pStyle w:val="Paragraph"/>
        <w:rPr>
          <w:lang w:val="en-US"/>
        </w:rPr>
      </w:pPr>
    </w:p>
    <w:p w14:paraId="2DA3450D" w14:textId="3D425BD1" w:rsidR="001D2E70" w:rsidRPr="001D2E70" w:rsidRDefault="00442157" w:rsidP="0099462A">
      <w:pPr>
        <w:pStyle w:val="Paragraph"/>
        <w:ind w:left="720"/>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As many scholars have pointed out</w:t>
      </w:r>
      <w:r w:rsidR="00A160AA"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1"/>
      </w:r>
      <w:r w:rsidRPr="003D5BA0">
        <w:rPr>
          <w:rFonts w:asciiTheme="minorHAnsi" w:hAnsiTheme="minorHAnsi" w:cstheme="minorHAnsi"/>
          <w:sz w:val="20"/>
          <w:szCs w:val="20"/>
          <w:lang w:val="en-US"/>
        </w:rPr>
        <w:t xml:space="preserve"> we live in a world that is full of financial </w:t>
      </w:r>
      <w:r w:rsidR="00FB3001">
        <w:rPr>
          <w:rFonts w:asciiTheme="minorHAnsi" w:hAnsiTheme="minorHAnsi" w:cstheme="minorHAnsi"/>
          <w:sz w:val="20"/>
          <w:szCs w:val="20"/>
          <w:lang w:val="en-US"/>
        </w:rPr>
        <w:t>enticements</w:t>
      </w:r>
      <w:r w:rsidRPr="003D5BA0">
        <w:rPr>
          <w:rFonts w:asciiTheme="minorHAnsi" w:hAnsiTheme="minorHAnsi" w:cstheme="minorHAnsi"/>
          <w:sz w:val="20"/>
          <w:szCs w:val="20"/>
          <w:lang w:val="en-US"/>
        </w:rPr>
        <w:t>. Financial compensation is the basis of our labor market in which individuals perform tasks in exchange for money.</w:t>
      </w:r>
      <w:r w:rsidR="00CF20BD" w:rsidRPr="003D5BA0">
        <w:rPr>
          <w:rFonts w:asciiTheme="minorHAnsi" w:hAnsiTheme="minorHAnsi" w:cstheme="minorHAnsi"/>
          <w:sz w:val="20"/>
          <w:szCs w:val="20"/>
          <w:lang w:val="en-US"/>
        </w:rPr>
        <w:t xml:space="preserve"> </w:t>
      </w:r>
      <w:r w:rsidR="000B193C" w:rsidRPr="003D5BA0">
        <w:rPr>
          <w:rFonts w:asciiTheme="minorHAnsi" w:hAnsiTheme="minorHAnsi" w:cstheme="minorHAnsi"/>
          <w:sz w:val="20"/>
          <w:szCs w:val="20"/>
          <w:lang w:val="en-US"/>
        </w:rPr>
        <w:t>Just as in research, financial compensation in the labor market is used as motivat</w:t>
      </w:r>
      <w:r w:rsidR="00BA0E6C" w:rsidRPr="003D5BA0">
        <w:rPr>
          <w:rFonts w:asciiTheme="minorHAnsi" w:hAnsiTheme="minorHAnsi" w:cstheme="minorHAnsi"/>
          <w:sz w:val="20"/>
          <w:szCs w:val="20"/>
          <w:lang w:val="en-US"/>
        </w:rPr>
        <w:t>ion for</w:t>
      </w:r>
      <w:r w:rsidR="000B193C" w:rsidRPr="003D5BA0">
        <w:rPr>
          <w:rFonts w:asciiTheme="minorHAnsi" w:hAnsiTheme="minorHAnsi" w:cstheme="minorHAnsi"/>
          <w:sz w:val="20"/>
          <w:szCs w:val="20"/>
          <w:lang w:val="en-US"/>
        </w:rPr>
        <w:t xml:space="preserve"> a person to complete a task that they would be unlikely to do in the absence of compensation</w:t>
      </w:r>
      <w:r w:rsidR="00F907EA"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2"/>
      </w:r>
      <w:r w:rsidR="00052409" w:rsidRPr="003D5BA0">
        <w:rPr>
          <w:rFonts w:asciiTheme="minorHAnsi" w:hAnsiTheme="minorHAnsi" w:cstheme="minorHAnsi"/>
          <w:sz w:val="20"/>
          <w:szCs w:val="20"/>
          <w:lang w:val="en-US"/>
        </w:rPr>
        <w:t xml:space="preserve"> </w:t>
      </w:r>
      <w:r w:rsidR="001D2E70" w:rsidRPr="001D2E70">
        <w:rPr>
          <w:rFonts w:asciiTheme="minorHAnsi" w:hAnsiTheme="minorHAnsi" w:cstheme="minorHAnsi"/>
          <w:sz w:val="20"/>
          <w:szCs w:val="20"/>
          <w:lang w:val="en-US"/>
        </w:rPr>
        <w:t xml:space="preserve">The purpose of this article is to critically compare medical research participation to another risky profession, </w:t>
      </w:r>
      <w:r w:rsidR="00126FDC">
        <w:rPr>
          <w:rFonts w:asciiTheme="minorHAnsi" w:hAnsiTheme="minorHAnsi" w:cstheme="minorHAnsi"/>
          <w:sz w:val="20"/>
          <w:szCs w:val="20"/>
          <w:lang w:val="en-US"/>
        </w:rPr>
        <w:t>firefighting</w:t>
      </w:r>
      <w:r w:rsidR="001D2E70" w:rsidRPr="001D2E70">
        <w:rPr>
          <w:rFonts w:asciiTheme="minorHAnsi" w:hAnsiTheme="minorHAnsi" w:cstheme="minorHAnsi"/>
          <w:sz w:val="20"/>
          <w:szCs w:val="20"/>
          <w:lang w:val="en-US"/>
        </w:rPr>
        <w:t xml:space="preserve">, in four key areas: level of risk, motivations, worker protections, and societal benefits. </w:t>
      </w:r>
    </w:p>
    <w:p w14:paraId="1743BDFF" w14:textId="7BAB1782" w:rsidR="003D5BA0" w:rsidRDefault="003D5BA0" w:rsidP="001D2E70">
      <w:pPr>
        <w:pStyle w:val="Paragraph"/>
        <w:ind w:firstLine="720"/>
        <w:jc w:val="both"/>
        <w:rPr>
          <w:rFonts w:asciiTheme="minorHAnsi" w:hAnsiTheme="minorHAnsi" w:cstheme="minorHAnsi"/>
          <w:lang w:val="en-US"/>
        </w:rPr>
      </w:pPr>
    </w:p>
    <w:p w14:paraId="6DB1D813" w14:textId="77777777" w:rsidR="00241A41" w:rsidRPr="00241A41" w:rsidRDefault="00241A41" w:rsidP="00241A41">
      <w:pPr>
        <w:pStyle w:val="Newparagraph"/>
        <w:rPr>
          <w:lang w:val="en-US"/>
        </w:rPr>
      </w:pPr>
    </w:p>
    <w:p w14:paraId="643D6C09" w14:textId="305BB0B2" w:rsidR="003D5BA0" w:rsidRPr="003D5BA0" w:rsidRDefault="003D5BA0" w:rsidP="003D5BA0">
      <w:pPr>
        <w:pStyle w:val="Newparagraph"/>
        <w:ind w:firstLine="0"/>
        <w:rPr>
          <w:rFonts w:ascii="Calibri Light" w:hAnsi="Calibri Light" w:cs="Calibri Light"/>
          <w:sz w:val="32"/>
          <w:szCs w:val="32"/>
          <w:lang w:val="en-US"/>
        </w:rPr>
      </w:pPr>
      <w:r w:rsidRPr="003D5BA0">
        <w:rPr>
          <w:rFonts w:ascii="Calibri Light" w:hAnsi="Calibri Light" w:cs="Calibri Light"/>
          <w:sz w:val="32"/>
          <w:szCs w:val="32"/>
          <w:lang w:val="en-US"/>
        </w:rPr>
        <w:lastRenderedPageBreak/>
        <w:t>D</w:t>
      </w:r>
      <w:r w:rsidR="0099462A">
        <w:rPr>
          <w:rFonts w:ascii="Calibri Light" w:hAnsi="Calibri Light" w:cs="Calibri Light"/>
          <w:sz w:val="32"/>
          <w:szCs w:val="32"/>
          <w:lang w:val="en-US"/>
        </w:rPr>
        <w:t>ISCUSSION</w:t>
      </w:r>
    </w:p>
    <w:p w14:paraId="4A908320" w14:textId="77777777" w:rsidR="00052409" w:rsidRPr="003D5BA0" w:rsidRDefault="00052409" w:rsidP="003D5BA0">
      <w:pPr>
        <w:pStyle w:val="Newparagraph"/>
        <w:jc w:val="both"/>
        <w:rPr>
          <w:rFonts w:ascii="Calibri Light" w:hAnsi="Calibri Light" w:cs="Calibri Light"/>
          <w:lang w:val="en-US"/>
        </w:rPr>
      </w:pPr>
    </w:p>
    <w:p w14:paraId="40988514" w14:textId="4F4C471A" w:rsidR="00973BDE" w:rsidRDefault="00973BDE" w:rsidP="0099462A">
      <w:pPr>
        <w:pStyle w:val="Newparagraph"/>
        <w:numPr>
          <w:ilvl w:val="0"/>
          <w:numId w:val="36"/>
        </w:numPr>
        <w:jc w:val="both"/>
        <w:rPr>
          <w:rFonts w:ascii="Calibri Light" w:hAnsi="Calibri Light" w:cs="Calibri Light"/>
          <w:sz w:val="28"/>
          <w:szCs w:val="28"/>
          <w:lang w:val="en-US"/>
        </w:rPr>
      </w:pPr>
      <w:r w:rsidRPr="003D5BA0">
        <w:rPr>
          <w:rFonts w:ascii="Calibri Light" w:hAnsi="Calibri Light" w:cs="Calibri Light"/>
          <w:sz w:val="28"/>
          <w:szCs w:val="28"/>
          <w:lang w:val="en-US"/>
        </w:rPr>
        <w:t>Level of Risk</w:t>
      </w:r>
    </w:p>
    <w:p w14:paraId="71C034C8" w14:textId="4E1772F6" w:rsidR="00FB3001" w:rsidRPr="003D5BA0" w:rsidRDefault="00FB3001" w:rsidP="003D5BA0">
      <w:pPr>
        <w:jc w:val="both"/>
        <w:rPr>
          <w:rFonts w:asciiTheme="minorHAnsi" w:hAnsiTheme="minorHAnsi" w:cstheme="minorHAnsi"/>
          <w:sz w:val="20"/>
          <w:szCs w:val="20"/>
          <w:lang w:val="en-US"/>
        </w:rPr>
      </w:pPr>
    </w:p>
    <w:p w14:paraId="33BA8B68" w14:textId="77777777" w:rsidR="005B40C3" w:rsidRDefault="005B40C3" w:rsidP="003D5BA0">
      <w:pPr>
        <w:jc w:val="both"/>
        <w:rPr>
          <w:rFonts w:asciiTheme="minorHAnsi" w:hAnsiTheme="minorHAnsi" w:cstheme="minorHAnsi"/>
          <w:sz w:val="20"/>
          <w:szCs w:val="20"/>
          <w:lang w:val="en-US"/>
        </w:rPr>
      </w:pPr>
    </w:p>
    <w:p w14:paraId="42F543E1" w14:textId="2373CEF6" w:rsidR="002B4129" w:rsidRDefault="005B40C3" w:rsidP="00FF5384">
      <w:pPr>
        <w:ind w:left="720"/>
        <w:jc w:val="both"/>
        <w:rPr>
          <w:rFonts w:asciiTheme="minorHAnsi" w:hAnsiTheme="minorHAnsi" w:cstheme="minorHAnsi"/>
          <w:sz w:val="20"/>
          <w:szCs w:val="20"/>
          <w:lang w:val="en-US"/>
        </w:rPr>
      </w:pPr>
      <w:r w:rsidRPr="005B40C3">
        <w:rPr>
          <w:rFonts w:asciiTheme="minorHAnsi" w:hAnsiTheme="minorHAnsi" w:cstheme="minorHAnsi"/>
          <w:sz w:val="20"/>
          <w:szCs w:val="20"/>
          <w:lang w:val="en-US"/>
        </w:rPr>
        <w:t>While not all employment situations come with an assumption of risk, firefighting is one that is inherently risky. The risk is offset by a high level of societal benefit and financial reward, resulting in an overall positive risk-benefit ratio. In general, firefighters are held up as heroes and revered for their service.</w:t>
      </w:r>
      <w:r w:rsidR="00F52D6A" w:rsidRPr="003D5BA0">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In </w:t>
      </w:r>
      <w:r w:rsidR="00F52D6A" w:rsidRPr="003D5BA0">
        <w:rPr>
          <w:rFonts w:asciiTheme="minorHAnsi" w:hAnsiTheme="minorHAnsi" w:cstheme="minorHAnsi"/>
          <w:sz w:val="20"/>
          <w:szCs w:val="20"/>
          <w:lang w:val="en-US"/>
        </w:rPr>
        <w:t>many medical research studies, study participants assume a certain level of risk in turn for compensation.</w:t>
      </w:r>
      <w:r w:rsidR="00EC4745" w:rsidRPr="003D5BA0">
        <w:rPr>
          <w:rFonts w:asciiTheme="minorHAnsi" w:hAnsiTheme="minorHAnsi" w:cstheme="minorHAnsi"/>
          <w:sz w:val="20"/>
          <w:szCs w:val="20"/>
          <w:lang w:val="en-US"/>
        </w:rPr>
        <w:t xml:space="preserve"> </w:t>
      </w:r>
      <w:r w:rsidR="00B821CD" w:rsidRPr="003D5BA0">
        <w:rPr>
          <w:rFonts w:asciiTheme="minorHAnsi" w:hAnsiTheme="minorHAnsi" w:cstheme="minorHAnsi"/>
          <w:sz w:val="20"/>
          <w:szCs w:val="20"/>
          <w:lang w:val="en-US"/>
        </w:rPr>
        <w:t>Yet th</w:t>
      </w:r>
      <w:r w:rsidR="00FB3001">
        <w:rPr>
          <w:rFonts w:asciiTheme="minorHAnsi" w:hAnsiTheme="minorHAnsi" w:cstheme="minorHAnsi"/>
          <w:sz w:val="20"/>
          <w:szCs w:val="20"/>
          <w:lang w:val="en-US"/>
        </w:rPr>
        <w:t>e</w:t>
      </w:r>
      <w:r w:rsidR="00B821CD" w:rsidRPr="003D5BA0">
        <w:rPr>
          <w:rFonts w:asciiTheme="minorHAnsi" w:hAnsiTheme="minorHAnsi" w:cstheme="minorHAnsi"/>
          <w:sz w:val="20"/>
          <w:szCs w:val="20"/>
          <w:lang w:val="en-US"/>
        </w:rPr>
        <w:t xml:space="preserve"> attitude </w:t>
      </w:r>
      <w:r w:rsidR="00FB3001">
        <w:rPr>
          <w:rFonts w:asciiTheme="minorHAnsi" w:hAnsiTheme="minorHAnsi" w:cstheme="minorHAnsi"/>
          <w:sz w:val="20"/>
          <w:szCs w:val="20"/>
          <w:lang w:val="en-US"/>
        </w:rPr>
        <w:t xml:space="preserve">of reverence </w:t>
      </w:r>
      <w:r w:rsidR="00B821CD" w:rsidRPr="003D5BA0">
        <w:rPr>
          <w:rFonts w:asciiTheme="minorHAnsi" w:hAnsiTheme="minorHAnsi" w:cstheme="minorHAnsi"/>
          <w:sz w:val="20"/>
          <w:szCs w:val="20"/>
          <w:lang w:val="en-US"/>
        </w:rPr>
        <w:t>does not</w:t>
      </w:r>
      <w:r w:rsidR="00BA59FB" w:rsidRPr="003D5BA0">
        <w:rPr>
          <w:rFonts w:asciiTheme="minorHAnsi" w:hAnsiTheme="minorHAnsi" w:cstheme="minorHAnsi"/>
          <w:sz w:val="20"/>
          <w:szCs w:val="20"/>
          <w:lang w:val="en-US"/>
        </w:rPr>
        <w:t xml:space="preserve"> </w:t>
      </w:r>
      <w:r w:rsidR="00B821CD" w:rsidRPr="003D5BA0">
        <w:rPr>
          <w:rFonts w:asciiTheme="minorHAnsi" w:hAnsiTheme="minorHAnsi" w:cstheme="minorHAnsi"/>
          <w:sz w:val="20"/>
          <w:szCs w:val="20"/>
          <w:lang w:val="en-US"/>
        </w:rPr>
        <w:t>extend to paid research participants</w:t>
      </w:r>
      <w:r w:rsidR="001B7E41" w:rsidRPr="003D5BA0">
        <w:rPr>
          <w:rFonts w:asciiTheme="minorHAnsi" w:hAnsiTheme="minorHAnsi" w:cstheme="minorHAnsi"/>
          <w:sz w:val="20"/>
          <w:szCs w:val="20"/>
          <w:lang w:val="en-US"/>
        </w:rPr>
        <w:t xml:space="preserve">. </w:t>
      </w:r>
      <w:r w:rsidR="00AB1E5C" w:rsidRPr="003D5BA0">
        <w:rPr>
          <w:rFonts w:asciiTheme="minorHAnsi" w:hAnsiTheme="minorHAnsi" w:cstheme="minorHAnsi"/>
          <w:sz w:val="20"/>
          <w:szCs w:val="20"/>
          <w:lang w:val="en-US"/>
        </w:rPr>
        <w:t xml:space="preserve">When tragedy strikes in a clinical trial, rather than </w:t>
      </w:r>
      <w:r w:rsidR="00D45BF7" w:rsidRPr="003D5BA0">
        <w:rPr>
          <w:rFonts w:asciiTheme="minorHAnsi" w:hAnsiTheme="minorHAnsi" w:cstheme="minorHAnsi"/>
          <w:sz w:val="20"/>
          <w:szCs w:val="20"/>
          <w:lang w:val="en-US"/>
        </w:rPr>
        <w:t>respectfully up</w:t>
      </w:r>
      <w:r w:rsidR="00AB1E5C" w:rsidRPr="003D5BA0">
        <w:rPr>
          <w:rFonts w:asciiTheme="minorHAnsi" w:hAnsiTheme="minorHAnsi" w:cstheme="minorHAnsi"/>
          <w:sz w:val="20"/>
          <w:szCs w:val="20"/>
          <w:lang w:val="en-US"/>
        </w:rPr>
        <w:t xml:space="preserve">holding those </w:t>
      </w:r>
      <w:r w:rsidR="00A160AA" w:rsidRPr="003D5BA0">
        <w:rPr>
          <w:rFonts w:asciiTheme="minorHAnsi" w:hAnsiTheme="minorHAnsi" w:cstheme="minorHAnsi"/>
          <w:sz w:val="20"/>
          <w:szCs w:val="20"/>
          <w:lang w:val="en-US"/>
        </w:rPr>
        <w:t xml:space="preserve">who were </w:t>
      </w:r>
      <w:r w:rsidR="00AB1E5C" w:rsidRPr="003D5BA0">
        <w:rPr>
          <w:rFonts w:asciiTheme="minorHAnsi" w:hAnsiTheme="minorHAnsi" w:cstheme="minorHAnsi"/>
          <w:sz w:val="20"/>
          <w:szCs w:val="20"/>
          <w:lang w:val="en-US"/>
        </w:rPr>
        <w:t>harmed as heroes</w:t>
      </w:r>
      <w:r w:rsidR="00A160AA" w:rsidRPr="003D5BA0">
        <w:rPr>
          <w:rFonts w:asciiTheme="minorHAnsi" w:hAnsiTheme="minorHAnsi" w:cstheme="minorHAnsi"/>
          <w:sz w:val="20"/>
          <w:szCs w:val="20"/>
          <w:lang w:val="en-US"/>
        </w:rPr>
        <w:t>,</w:t>
      </w:r>
      <w:r w:rsidR="00AB1E5C" w:rsidRPr="003D5BA0">
        <w:rPr>
          <w:rFonts w:asciiTheme="minorHAnsi" w:hAnsiTheme="minorHAnsi" w:cstheme="minorHAnsi"/>
          <w:sz w:val="20"/>
          <w:szCs w:val="20"/>
          <w:lang w:val="en-US"/>
        </w:rPr>
        <w:t xml:space="preserve"> </w:t>
      </w:r>
      <w:r w:rsidR="00D45BF7" w:rsidRPr="003D5BA0">
        <w:rPr>
          <w:rFonts w:asciiTheme="minorHAnsi" w:hAnsiTheme="minorHAnsi" w:cstheme="minorHAnsi"/>
          <w:sz w:val="20"/>
          <w:szCs w:val="20"/>
          <w:lang w:val="en-US"/>
        </w:rPr>
        <w:t xml:space="preserve">monetary compensation </w:t>
      </w:r>
      <w:r w:rsidR="00AB1E5C" w:rsidRPr="003D5BA0">
        <w:rPr>
          <w:rFonts w:asciiTheme="minorHAnsi" w:hAnsiTheme="minorHAnsi" w:cstheme="minorHAnsi"/>
          <w:sz w:val="20"/>
          <w:szCs w:val="20"/>
          <w:lang w:val="en-US"/>
        </w:rPr>
        <w:t xml:space="preserve">is scrutinized. </w:t>
      </w:r>
      <w:r w:rsidR="00EC4745" w:rsidRPr="003D5BA0">
        <w:rPr>
          <w:rFonts w:asciiTheme="minorHAnsi" w:hAnsiTheme="minorHAnsi" w:cstheme="minorHAnsi"/>
          <w:sz w:val="20"/>
          <w:szCs w:val="20"/>
          <w:lang w:val="en-US"/>
        </w:rPr>
        <w:t xml:space="preserve">Following the tragic TGN1412 trial, </w:t>
      </w:r>
      <w:r w:rsidR="00AB1E5C" w:rsidRPr="003D5BA0">
        <w:rPr>
          <w:rFonts w:asciiTheme="minorHAnsi" w:hAnsiTheme="minorHAnsi" w:cstheme="minorHAnsi"/>
          <w:sz w:val="20"/>
          <w:szCs w:val="20"/>
          <w:lang w:val="en-US"/>
        </w:rPr>
        <w:t xml:space="preserve">Ezekiel Emanuel </w:t>
      </w:r>
      <w:r w:rsidR="000855F3" w:rsidRPr="003D5BA0">
        <w:rPr>
          <w:rFonts w:asciiTheme="minorHAnsi" w:hAnsiTheme="minorHAnsi" w:cstheme="minorHAnsi"/>
          <w:sz w:val="20"/>
          <w:szCs w:val="20"/>
          <w:lang w:val="en-US"/>
        </w:rPr>
        <w:t>stated that</w:t>
      </w:r>
      <w:r w:rsidR="00AB1E5C" w:rsidRPr="003D5BA0">
        <w:rPr>
          <w:rFonts w:asciiTheme="minorHAnsi" w:hAnsiTheme="minorHAnsi" w:cstheme="minorHAnsi"/>
          <w:sz w:val="20"/>
          <w:szCs w:val="20"/>
          <w:lang w:val="en-US"/>
        </w:rPr>
        <w:t xml:space="preserve"> “almost all press reports and commentaries have mentioned that the healthy research participants were paid £2000 for enrolling in a phase one trial of a new agent produced by a for-profit company, as if this necessarily signified the trial was ethically questionable</w:t>
      </w:r>
      <w:r w:rsidR="00FB3001">
        <w:rPr>
          <w:rFonts w:asciiTheme="minorHAnsi" w:hAnsiTheme="minorHAnsi" w:cstheme="minorHAnsi"/>
          <w:sz w:val="20"/>
          <w:szCs w:val="20"/>
          <w:lang w:val="en-US"/>
        </w:rPr>
        <w:t>.</w:t>
      </w:r>
      <w:r w:rsidR="00AB1E5C"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3"/>
      </w:r>
    </w:p>
    <w:p w14:paraId="2CD78BB6" w14:textId="77777777" w:rsidR="00A62414" w:rsidRPr="003D5BA0" w:rsidRDefault="00A62414" w:rsidP="00FF5384">
      <w:pPr>
        <w:ind w:left="720"/>
        <w:jc w:val="both"/>
        <w:rPr>
          <w:rFonts w:asciiTheme="minorHAnsi" w:hAnsiTheme="minorHAnsi" w:cstheme="minorHAnsi"/>
          <w:sz w:val="20"/>
          <w:szCs w:val="20"/>
          <w:lang w:val="en-US"/>
        </w:rPr>
      </w:pPr>
    </w:p>
    <w:p w14:paraId="06170B38" w14:textId="745D46AC" w:rsidR="00052409" w:rsidRPr="003D5BA0" w:rsidRDefault="002B4129" w:rsidP="00FF5384">
      <w:pPr>
        <w:ind w:left="720"/>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The discrepancy in responses following a tragedy illuminates the different ways in which the contributions of firefighters versus clinical research participants are</w:t>
      </w:r>
      <w:r w:rsidR="001B7E41" w:rsidRPr="003D5BA0">
        <w:rPr>
          <w:rFonts w:asciiTheme="minorHAnsi" w:hAnsiTheme="minorHAnsi" w:cstheme="minorHAnsi"/>
          <w:sz w:val="20"/>
          <w:szCs w:val="20"/>
          <w:lang w:val="en-US"/>
        </w:rPr>
        <w:t xml:space="preserve"> viewed</w:t>
      </w:r>
      <w:r w:rsidR="00FB3001">
        <w:rPr>
          <w:rFonts w:asciiTheme="minorHAnsi" w:hAnsiTheme="minorHAnsi" w:cstheme="minorHAnsi"/>
          <w:sz w:val="20"/>
          <w:szCs w:val="20"/>
          <w:lang w:val="en-US"/>
        </w:rPr>
        <w:t>:</w:t>
      </w:r>
      <w:r w:rsidR="00672E2F">
        <w:rPr>
          <w:rFonts w:asciiTheme="minorHAnsi" w:hAnsiTheme="minorHAnsi" w:cstheme="minorHAnsi"/>
          <w:sz w:val="20"/>
          <w:szCs w:val="20"/>
          <w:lang w:val="en-US"/>
        </w:rPr>
        <w:t xml:space="preserve"> </w:t>
      </w:r>
      <w:r w:rsidR="00D45BF7" w:rsidRPr="003D5BA0">
        <w:rPr>
          <w:rFonts w:asciiTheme="minorHAnsi" w:hAnsiTheme="minorHAnsi" w:cstheme="minorHAnsi"/>
          <w:sz w:val="20"/>
          <w:szCs w:val="20"/>
          <w:lang w:val="en-US"/>
        </w:rPr>
        <w:t>f</w:t>
      </w:r>
      <w:r w:rsidRPr="003D5BA0">
        <w:rPr>
          <w:rFonts w:asciiTheme="minorHAnsi" w:hAnsiTheme="minorHAnsi" w:cstheme="minorHAnsi"/>
          <w:sz w:val="20"/>
          <w:szCs w:val="20"/>
          <w:lang w:val="en-US"/>
        </w:rPr>
        <w:t>allen firefighters</w:t>
      </w:r>
      <w:r w:rsidR="00D45BF7" w:rsidRPr="003D5BA0">
        <w:rPr>
          <w:rFonts w:asciiTheme="minorHAnsi" w:hAnsiTheme="minorHAnsi" w:cstheme="minorHAnsi"/>
          <w:sz w:val="20"/>
          <w:szCs w:val="20"/>
          <w:lang w:val="en-US"/>
        </w:rPr>
        <w:t xml:space="preserve"> </w:t>
      </w:r>
      <w:r w:rsidR="00EC4745" w:rsidRPr="003D5BA0">
        <w:rPr>
          <w:rFonts w:asciiTheme="minorHAnsi" w:hAnsiTheme="minorHAnsi" w:cstheme="minorHAnsi"/>
          <w:sz w:val="20"/>
          <w:szCs w:val="20"/>
          <w:lang w:val="en-US"/>
        </w:rPr>
        <w:t>are</w:t>
      </w:r>
      <w:r w:rsidR="00D45BF7" w:rsidRPr="003D5BA0">
        <w:rPr>
          <w:rFonts w:asciiTheme="minorHAnsi" w:hAnsiTheme="minorHAnsi" w:cstheme="minorHAnsi"/>
          <w:sz w:val="20"/>
          <w:szCs w:val="20"/>
          <w:lang w:val="en-US"/>
        </w:rPr>
        <w:t xml:space="preserve"> up</w:t>
      </w:r>
      <w:r w:rsidRPr="003D5BA0">
        <w:rPr>
          <w:rFonts w:asciiTheme="minorHAnsi" w:hAnsiTheme="minorHAnsi" w:cstheme="minorHAnsi"/>
          <w:sz w:val="20"/>
          <w:szCs w:val="20"/>
          <w:lang w:val="en-US"/>
        </w:rPr>
        <w:t>held as heroes in the wake of tragedy</w:t>
      </w:r>
      <w:r w:rsidR="001B7E41" w:rsidRPr="003D5BA0">
        <w:rPr>
          <w:rFonts w:asciiTheme="minorHAnsi" w:hAnsiTheme="minorHAnsi" w:cstheme="minorHAnsi"/>
          <w:sz w:val="20"/>
          <w:szCs w:val="20"/>
          <w:lang w:val="en-US"/>
        </w:rPr>
        <w:t xml:space="preserve"> whereas</w:t>
      </w:r>
      <w:r w:rsidRPr="003D5BA0">
        <w:rPr>
          <w:rFonts w:asciiTheme="minorHAnsi" w:hAnsiTheme="minorHAnsi" w:cstheme="minorHAnsi"/>
          <w:sz w:val="20"/>
          <w:szCs w:val="20"/>
          <w:lang w:val="en-US"/>
        </w:rPr>
        <w:t xml:space="preserve">, clinical research </w:t>
      </w:r>
      <w:r w:rsidR="001005E3">
        <w:rPr>
          <w:rFonts w:asciiTheme="minorHAnsi" w:hAnsiTheme="minorHAnsi" w:cstheme="minorHAnsi"/>
          <w:sz w:val="20"/>
          <w:szCs w:val="20"/>
          <w:lang w:val="en-US"/>
        </w:rPr>
        <w:t>participants are not.</w:t>
      </w:r>
      <w:r w:rsidRPr="003D5BA0">
        <w:rPr>
          <w:rFonts w:asciiTheme="minorHAnsi" w:hAnsiTheme="minorHAnsi" w:cstheme="minorHAnsi"/>
          <w:sz w:val="20"/>
          <w:szCs w:val="20"/>
          <w:lang w:val="en-US"/>
        </w:rPr>
        <w:t xml:space="preserve"> </w:t>
      </w:r>
      <w:r w:rsidR="005B40C3">
        <w:rPr>
          <w:rFonts w:asciiTheme="minorHAnsi" w:hAnsiTheme="minorHAnsi" w:cstheme="minorHAnsi"/>
          <w:sz w:val="20"/>
          <w:szCs w:val="20"/>
          <w:lang w:val="en-US"/>
        </w:rPr>
        <w:t xml:space="preserve">While the participants are not necessarily criticized, </w:t>
      </w:r>
      <w:r w:rsidR="00672E2F">
        <w:rPr>
          <w:rFonts w:asciiTheme="minorHAnsi" w:hAnsiTheme="minorHAnsi" w:cstheme="minorHAnsi"/>
          <w:sz w:val="20"/>
          <w:szCs w:val="20"/>
          <w:lang w:val="en-US"/>
        </w:rPr>
        <w:t xml:space="preserve">suggestions are made that the participants were recruited using unsavory methods. </w:t>
      </w:r>
      <w:r w:rsidR="005B40C3">
        <w:rPr>
          <w:rFonts w:asciiTheme="minorHAnsi" w:hAnsiTheme="minorHAnsi" w:cstheme="minorHAnsi"/>
          <w:sz w:val="20"/>
          <w:szCs w:val="20"/>
          <w:lang w:val="en-US"/>
        </w:rPr>
        <w:t>The structure that pays firefighters is not s</w:t>
      </w:r>
      <w:r w:rsidR="001005E3">
        <w:rPr>
          <w:rFonts w:asciiTheme="minorHAnsi" w:hAnsiTheme="minorHAnsi" w:cstheme="minorHAnsi"/>
          <w:sz w:val="20"/>
          <w:szCs w:val="20"/>
          <w:lang w:val="en-US"/>
        </w:rPr>
        <w:t>ubject to similar s</w:t>
      </w:r>
      <w:r w:rsidR="005B40C3">
        <w:rPr>
          <w:rFonts w:asciiTheme="minorHAnsi" w:hAnsiTheme="minorHAnsi" w:cstheme="minorHAnsi"/>
          <w:sz w:val="20"/>
          <w:szCs w:val="20"/>
          <w:lang w:val="en-US"/>
        </w:rPr>
        <w:t>crutin</w:t>
      </w:r>
      <w:r w:rsidR="001005E3">
        <w:rPr>
          <w:rFonts w:asciiTheme="minorHAnsi" w:hAnsiTheme="minorHAnsi" w:cstheme="minorHAnsi"/>
          <w:sz w:val="20"/>
          <w:szCs w:val="20"/>
          <w:lang w:val="en-US"/>
        </w:rPr>
        <w:t>y</w:t>
      </w:r>
      <w:r w:rsidR="005B40C3">
        <w:rPr>
          <w:rFonts w:asciiTheme="minorHAnsi" w:hAnsiTheme="minorHAnsi" w:cstheme="minorHAnsi"/>
          <w:sz w:val="20"/>
          <w:szCs w:val="20"/>
          <w:lang w:val="en-US"/>
        </w:rPr>
        <w:t xml:space="preserve"> for enticing them to take risk.</w:t>
      </w:r>
    </w:p>
    <w:p w14:paraId="53D543B1" w14:textId="6B0F637A" w:rsidR="00AB1E5C" w:rsidRPr="003D5BA0" w:rsidRDefault="005D7BE8" w:rsidP="0099462A">
      <w:pPr>
        <w:pStyle w:val="Keywords"/>
        <w:numPr>
          <w:ilvl w:val="0"/>
          <w:numId w:val="36"/>
        </w:numPr>
        <w:spacing w:line="240" w:lineRule="auto"/>
        <w:ind w:right="21"/>
        <w:jc w:val="both"/>
        <w:rPr>
          <w:rFonts w:ascii="Calibri Light" w:hAnsi="Calibri Light" w:cs="Calibri Light"/>
          <w:sz w:val="28"/>
          <w:szCs w:val="28"/>
          <w:lang w:val="en-US"/>
        </w:rPr>
      </w:pPr>
      <w:r w:rsidRPr="003D5BA0">
        <w:rPr>
          <w:rFonts w:ascii="Calibri Light" w:hAnsi="Calibri Light" w:cs="Calibri Light"/>
          <w:sz w:val="28"/>
          <w:szCs w:val="28"/>
          <w:lang w:val="en-US"/>
        </w:rPr>
        <w:t>Motivations</w:t>
      </w:r>
    </w:p>
    <w:p w14:paraId="18C72E9C" w14:textId="4C291CC6" w:rsidR="002B4129" w:rsidRPr="003D5BA0" w:rsidRDefault="001B7E41" w:rsidP="00FF5384">
      <w:pPr>
        <w:pStyle w:val="Keywords"/>
        <w:spacing w:line="240" w:lineRule="auto"/>
        <w:ind w:right="21"/>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F</w:t>
      </w:r>
      <w:r w:rsidR="002B4129" w:rsidRPr="003D5BA0">
        <w:rPr>
          <w:rFonts w:asciiTheme="minorHAnsi" w:hAnsiTheme="minorHAnsi" w:cstheme="minorHAnsi"/>
          <w:sz w:val="20"/>
          <w:szCs w:val="20"/>
          <w:lang w:val="en-US"/>
        </w:rPr>
        <w:t xml:space="preserve">irefighters and clinical research participants </w:t>
      </w:r>
      <w:r w:rsidRPr="003D5BA0">
        <w:rPr>
          <w:rFonts w:asciiTheme="minorHAnsi" w:hAnsiTheme="minorHAnsi" w:cstheme="minorHAnsi"/>
          <w:sz w:val="20"/>
          <w:szCs w:val="20"/>
          <w:lang w:val="en-US"/>
        </w:rPr>
        <w:t xml:space="preserve">have </w:t>
      </w:r>
      <w:r w:rsidR="002B4129" w:rsidRPr="003D5BA0">
        <w:rPr>
          <w:rFonts w:asciiTheme="minorHAnsi" w:hAnsiTheme="minorHAnsi" w:cstheme="minorHAnsi"/>
          <w:sz w:val="20"/>
          <w:szCs w:val="20"/>
          <w:lang w:val="en-US"/>
        </w:rPr>
        <w:t>similar</w:t>
      </w:r>
      <w:r w:rsidRPr="003D5BA0">
        <w:rPr>
          <w:rFonts w:asciiTheme="minorHAnsi" w:hAnsiTheme="minorHAnsi" w:cstheme="minorHAnsi"/>
          <w:sz w:val="20"/>
          <w:szCs w:val="20"/>
          <w:lang w:val="en-US"/>
        </w:rPr>
        <w:t xml:space="preserve"> </w:t>
      </w:r>
      <w:r w:rsidR="002B4129" w:rsidRPr="003D5BA0">
        <w:rPr>
          <w:rFonts w:asciiTheme="minorHAnsi" w:hAnsiTheme="minorHAnsi" w:cstheme="minorHAnsi"/>
          <w:sz w:val="20"/>
          <w:szCs w:val="20"/>
          <w:lang w:val="en-US"/>
        </w:rPr>
        <w:t xml:space="preserve">motivations for </w:t>
      </w:r>
      <w:r w:rsidRPr="003D5BA0">
        <w:rPr>
          <w:rFonts w:asciiTheme="minorHAnsi" w:hAnsiTheme="minorHAnsi" w:cstheme="minorHAnsi"/>
          <w:sz w:val="20"/>
          <w:szCs w:val="20"/>
          <w:lang w:val="en-US"/>
        </w:rPr>
        <w:t xml:space="preserve">offering their </w:t>
      </w:r>
      <w:r w:rsidR="002B4129" w:rsidRPr="003D5BA0">
        <w:rPr>
          <w:rFonts w:asciiTheme="minorHAnsi" w:hAnsiTheme="minorHAnsi" w:cstheme="minorHAnsi"/>
          <w:sz w:val="20"/>
          <w:szCs w:val="20"/>
          <w:lang w:val="en-US"/>
        </w:rPr>
        <w:t xml:space="preserve">service. While some firefighters </w:t>
      </w:r>
      <w:r w:rsidR="00897986" w:rsidRPr="003D5BA0">
        <w:rPr>
          <w:rFonts w:asciiTheme="minorHAnsi" w:hAnsiTheme="minorHAnsi" w:cstheme="minorHAnsi"/>
          <w:sz w:val="20"/>
          <w:szCs w:val="20"/>
          <w:lang w:val="en-US"/>
        </w:rPr>
        <w:t>assume the</w:t>
      </w:r>
      <w:r w:rsidR="002B4129" w:rsidRPr="003D5BA0">
        <w:rPr>
          <w:rFonts w:asciiTheme="minorHAnsi" w:hAnsiTheme="minorHAnsi" w:cstheme="minorHAnsi"/>
          <w:sz w:val="20"/>
          <w:szCs w:val="20"/>
          <w:lang w:val="en-US"/>
        </w:rPr>
        <w:t xml:space="preserve"> role</w:t>
      </w:r>
      <w:r w:rsidR="00897986" w:rsidRPr="003D5BA0">
        <w:rPr>
          <w:rFonts w:asciiTheme="minorHAnsi" w:hAnsiTheme="minorHAnsi" w:cstheme="minorHAnsi"/>
          <w:sz w:val="20"/>
          <w:szCs w:val="20"/>
          <w:lang w:val="en-US"/>
        </w:rPr>
        <w:t xml:space="preserve"> </w:t>
      </w:r>
      <w:r w:rsidR="002B4129" w:rsidRPr="003D5BA0">
        <w:rPr>
          <w:rFonts w:asciiTheme="minorHAnsi" w:hAnsiTheme="minorHAnsi" w:cstheme="minorHAnsi"/>
          <w:sz w:val="20"/>
          <w:szCs w:val="20"/>
          <w:lang w:val="en-US"/>
        </w:rPr>
        <w:t>because</w:t>
      </w:r>
      <w:r w:rsidR="00897986" w:rsidRPr="003D5BA0">
        <w:rPr>
          <w:rFonts w:asciiTheme="minorHAnsi" w:hAnsiTheme="minorHAnsi" w:cstheme="minorHAnsi"/>
          <w:sz w:val="20"/>
          <w:szCs w:val="20"/>
          <w:lang w:val="en-US"/>
        </w:rPr>
        <w:t xml:space="preserve"> of a sense of altruism</w:t>
      </w:r>
      <w:r w:rsidR="00F52D6A"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4"/>
      </w:r>
      <w:r w:rsidR="00897986" w:rsidRPr="003D5BA0">
        <w:rPr>
          <w:rFonts w:asciiTheme="minorHAnsi" w:hAnsiTheme="minorHAnsi" w:cstheme="minorHAnsi"/>
          <w:sz w:val="20"/>
          <w:szCs w:val="20"/>
          <w:lang w:val="en-US"/>
        </w:rPr>
        <w:t xml:space="preserve"> </w:t>
      </w:r>
      <w:r w:rsidR="002B4129" w:rsidRPr="003D5BA0">
        <w:rPr>
          <w:rFonts w:asciiTheme="minorHAnsi" w:hAnsiTheme="minorHAnsi" w:cstheme="minorHAnsi"/>
          <w:sz w:val="20"/>
          <w:szCs w:val="20"/>
          <w:lang w:val="en-US"/>
        </w:rPr>
        <w:t xml:space="preserve">others choose to pursue </w:t>
      </w:r>
      <w:r w:rsidR="000E6743">
        <w:rPr>
          <w:rFonts w:asciiTheme="minorHAnsi" w:hAnsiTheme="minorHAnsi" w:cstheme="minorHAnsi"/>
          <w:sz w:val="20"/>
          <w:szCs w:val="20"/>
          <w:lang w:val="en-US"/>
        </w:rPr>
        <w:t>firefighting</w:t>
      </w:r>
      <w:r w:rsidR="002B4129" w:rsidRPr="003D5BA0">
        <w:rPr>
          <w:rFonts w:asciiTheme="minorHAnsi" w:hAnsiTheme="minorHAnsi" w:cstheme="minorHAnsi"/>
          <w:sz w:val="20"/>
          <w:szCs w:val="20"/>
          <w:lang w:val="en-US"/>
        </w:rPr>
        <w:t xml:space="preserve"> as their profession. </w:t>
      </w:r>
      <w:r w:rsidR="000E6743">
        <w:rPr>
          <w:rFonts w:asciiTheme="minorHAnsi" w:hAnsiTheme="minorHAnsi" w:cstheme="minorHAnsi"/>
          <w:sz w:val="20"/>
          <w:szCs w:val="20"/>
          <w:lang w:val="en-US"/>
        </w:rPr>
        <w:t>R</w:t>
      </w:r>
      <w:r w:rsidR="00651021" w:rsidRPr="003D5BA0">
        <w:rPr>
          <w:rFonts w:asciiTheme="minorHAnsi" w:hAnsiTheme="minorHAnsi" w:cstheme="minorHAnsi"/>
          <w:sz w:val="20"/>
          <w:szCs w:val="20"/>
          <w:lang w:val="en-US"/>
        </w:rPr>
        <w:t>ecei</w:t>
      </w:r>
      <w:r w:rsidR="000E6743">
        <w:rPr>
          <w:rFonts w:asciiTheme="minorHAnsi" w:hAnsiTheme="minorHAnsi" w:cstheme="minorHAnsi"/>
          <w:sz w:val="20"/>
          <w:szCs w:val="20"/>
          <w:lang w:val="en-US"/>
        </w:rPr>
        <w:t>pt of</w:t>
      </w:r>
      <w:r w:rsidR="00651021" w:rsidRPr="003D5BA0">
        <w:rPr>
          <w:rFonts w:asciiTheme="minorHAnsi" w:hAnsiTheme="minorHAnsi" w:cstheme="minorHAnsi"/>
          <w:sz w:val="20"/>
          <w:szCs w:val="20"/>
          <w:lang w:val="en-US"/>
        </w:rPr>
        <w:t xml:space="preserve"> financial compensation for their service</w:t>
      </w:r>
      <w:r w:rsidR="00F52D6A" w:rsidRPr="003D5BA0">
        <w:rPr>
          <w:rFonts w:asciiTheme="minorHAnsi" w:hAnsiTheme="minorHAnsi" w:cstheme="minorHAnsi"/>
          <w:sz w:val="20"/>
          <w:szCs w:val="20"/>
          <w:lang w:val="en-US"/>
        </w:rPr>
        <w:t>s</w:t>
      </w:r>
      <w:r w:rsidR="002B4129" w:rsidRPr="003D5BA0">
        <w:rPr>
          <w:rFonts w:asciiTheme="minorHAnsi" w:hAnsiTheme="minorHAnsi" w:cstheme="minorHAnsi"/>
          <w:sz w:val="20"/>
          <w:szCs w:val="20"/>
          <w:lang w:val="en-US"/>
        </w:rPr>
        <w:t xml:space="preserve"> does not diminish the nobility of their action.</w:t>
      </w:r>
      <w:r w:rsidR="002B59CF" w:rsidRPr="003D5BA0">
        <w:rPr>
          <w:rFonts w:asciiTheme="minorHAnsi" w:hAnsiTheme="minorHAnsi" w:cstheme="minorHAnsi"/>
          <w:sz w:val="20"/>
          <w:szCs w:val="20"/>
          <w:lang w:val="en-US"/>
        </w:rPr>
        <w:t xml:space="preserve"> </w:t>
      </w:r>
      <w:r w:rsidR="002B4129" w:rsidRPr="003D5BA0">
        <w:rPr>
          <w:rFonts w:asciiTheme="minorHAnsi" w:hAnsiTheme="minorHAnsi" w:cstheme="minorHAnsi"/>
          <w:sz w:val="20"/>
          <w:szCs w:val="20"/>
          <w:lang w:val="en-US"/>
        </w:rPr>
        <w:t xml:space="preserve">Among career firefighters, it is reasonable to assume that they may have made a different choice </w:t>
      </w:r>
      <w:r w:rsidR="00651021" w:rsidRPr="003D5BA0">
        <w:rPr>
          <w:rFonts w:asciiTheme="minorHAnsi" w:hAnsiTheme="minorHAnsi" w:cstheme="minorHAnsi"/>
          <w:sz w:val="20"/>
          <w:szCs w:val="20"/>
          <w:lang w:val="en-US"/>
        </w:rPr>
        <w:t>if the</w:t>
      </w:r>
      <w:r w:rsidR="00D45BF7" w:rsidRPr="003D5BA0">
        <w:rPr>
          <w:rFonts w:asciiTheme="minorHAnsi" w:hAnsiTheme="minorHAnsi" w:cstheme="minorHAnsi"/>
          <w:sz w:val="20"/>
          <w:szCs w:val="20"/>
          <w:lang w:val="en-US"/>
        </w:rPr>
        <w:t>re w</w:t>
      </w:r>
      <w:r w:rsidR="000E6743">
        <w:rPr>
          <w:rFonts w:asciiTheme="minorHAnsi" w:hAnsiTheme="minorHAnsi" w:cstheme="minorHAnsi"/>
          <w:sz w:val="20"/>
          <w:szCs w:val="20"/>
          <w:lang w:val="en-US"/>
        </w:rPr>
        <w:t>ere</w:t>
      </w:r>
      <w:r w:rsidR="00D45BF7" w:rsidRPr="003D5BA0">
        <w:rPr>
          <w:rFonts w:asciiTheme="minorHAnsi" w:hAnsiTheme="minorHAnsi" w:cstheme="minorHAnsi"/>
          <w:sz w:val="20"/>
          <w:szCs w:val="20"/>
          <w:lang w:val="en-US"/>
        </w:rPr>
        <w:t xml:space="preserve"> no</w:t>
      </w:r>
      <w:r w:rsidR="00651021" w:rsidRPr="003D5BA0">
        <w:rPr>
          <w:rFonts w:asciiTheme="minorHAnsi" w:hAnsiTheme="minorHAnsi" w:cstheme="minorHAnsi"/>
          <w:sz w:val="20"/>
          <w:szCs w:val="20"/>
          <w:lang w:val="en-US"/>
        </w:rPr>
        <w:t xml:space="preserve"> payment</w:t>
      </w:r>
      <w:r w:rsidR="002B4129" w:rsidRPr="003D5BA0">
        <w:rPr>
          <w:rFonts w:asciiTheme="minorHAnsi" w:hAnsiTheme="minorHAnsi" w:cstheme="minorHAnsi"/>
          <w:sz w:val="20"/>
          <w:szCs w:val="20"/>
          <w:lang w:val="en-US"/>
        </w:rPr>
        <w:t xml:space="preserve">, yet rarely is a firefighter’s salary seen as </w:t>
      </w:r>
      <w:r w:rsidR="000E6743">
        <w:rPr>
          <w:rFonts w:asciiTheme="minorHAnsi" w:hAnsiTheme="minorHAnsi" w:cstheme="minorHAnsi"/>
          <w:sz w:val="20"/>
          <w:szCs w:val="20"/>
          <w:lang w:val="en-US"/>
        </w:rPr>
        <w:t>coer</w:t>
      </w:r>
      <w:r w:rsidR="001005E3">
        <w:rPr>
          <w:rFonts w:asciiTheme="minorHAnsi" w:hAnsiTheme="minorHAnsi" w:cstheme="minorHAnsi"/>
          <w:sz w:val="20"/>
          <w:szCs w:val="20"/>
          <w:lang w:val="en-US"/>
        </w:rPr>
        <w:t>cive</w:t>
      </w:r>
      <w:r w:rsidR="002B4129" w:rsidRPr="003D5BA0">
        <w:rPr>
          <w:rFonts w:asciiTheme="minorHAnsi" w:hAnsiTheme="minorHAnsi" w:cstheme="minorHAnsi"/>
          <w:sz w:val="20"/>
          <w:szCs w:val="20"/>
          <w:lang w:val="en-US"/>
        </w:rPr>
        <w:t>.</w:t>
      </w:r>
      <w:r w:rsidR="00651021" w:rsidRPr="003D5BA0">
        <w:rPr>
          <w:rFonts w:asciiTheme="minorHAnsi" w:hAnsiTheme="minorHAnsi" w:cstheme="minorHAnsi"/>
          <w:sz w:val="20"/>
          <w:szCs w:val="20"/>
          <w:lang w:val="en-US"/>
        </w:rPr>
        <w:t xml:space="preserve"> </w:t>
      </w:r>
    </w:p>
    <w:p w14:paraId="559E284C" w14:textId="24368D77" w:rsidR="003D5BA0" w:rsidRPr="003D5BA0" w:rsidRDefault="00DC6A40" w:rsidP="00FF5384">
      <w:pPr>
        <w:pStyle w:val="Keywords"/>
        <w:spacing w:line="240" w:lineRule="auto"/>
        <w:ind w:right="21"/>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 xml:space="preserve">Similarly, research has shown that many research participants join clinical trials </w:t>
      </w:r>
      <w:r w:rsidR="002B4129" w:rsidRPr="003D5BA0">
        <w:rPr>
          <w:rFonts w:asciiTheme="minorHAnsi" w:hAnsiTheme="minorHAnsi" w:cstheme="minorHAnsi"/>
          <w:sz w:val="20"/>
          <w:szCs w:val="20"/>
          <w:lang w:val="en-US"/>
        </w:rPr>
        <w:t>due to a sense</w:t>
      </w:r>
      <w:r w:rsidR="007D7DE5" w:rsidRPr="003D5BA0">
        <w:rPr>
          <w:rFonts w:asciiTheme="minorHAnsi" w:hAnsiTheme="minorHAnsi" w:cstheme="minorHAnsi"/>
          <w:sz w:val="20"/>
          <w:szCs w:val="20"/>
          <w:lang w:val="en-US"/>
        </w:rPr>
        <w:t xml:space="preserve"> of altruism</w:t>
      </w:r>
      <w:r w:rsidR="00F52D6A"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5"/>
      </w:r>
      <w:r w:rsidR="007D7DE5" w:rsidRPr="003D5BA0">
        <w:rPr>
          <w:rFonts w:asciiTheme="minorHAnsi" w:hAnsiTheme="minorHAnsi" w:cstheme="minorHAnsi"/>
          <w:sz w:val="20"/>
          <w:szCs w:val="20"/>
          <w:lang w:val="en-US"/>
        </w:rPr>
        <w:t xml:space="preserve"> yet</w:t>
      </w:r>
      <w:r w:rsidR="002B59CF" w:rsidRPr="003D5BA0">
        <w:rPr>
          <w:rFonts w:asciiTheme="minorHAnsi" w:hAnsiTheme="minorHAnsi" w:cstheme="minorHAnsi"/>
          <w:sz w:val="20"/>
          <w:szCs w:val="20"/>
          <w:lang w:val="en-US"/>
        </w:rPr>
        <w:t xml:space="preserve"> many others do so for financial compensation. Even among those</w:t>
      </w:r>
      <w:r w:rsidR="00F52D6A" w:rsidRPr="003D5BA0">
        <w:rPr>
          <w:rFonts w:asciiTheme="minorHAnsi" w:hAnsiTheme="minorHAnsi" w:cstheme="minorHAnsi"/>
          <w:sz w:val="20"/>
          <w:szCs w:val="20"/>
          <w:lang w:val="en-US"/>
        </w:rPr>
        <w:t xml:space="preserve"> </w:t>
      </w:r>
      <w:r w:rsidR="002B59CF" w:rsidRPr="003D5BA0">
        <w:rPr>
          <w:rFonts w:asciiTheme="minorHAnsi" w:hAnsiTheme="minorHAnsi" w:cstheme="minorHAnsi"/>
          <w:sz w:val="20"/>
          <w:szCs w:val="20"/>
          <w:lang w:val="en-US"/>
        </w:rPr>
        <w:t>primar</w:t>
      </w:r>
      <w:r w:rsidR="00F52D6A" w:rsidRPr="003D5BA0">
        <w:rPr>
          <w:rFonts w:asciiTheme="minorHAnsi" w:hAnsiTheme="minorHAnsi" w:cstheme="minorHAnsi"/>
          <w:sz w:val="20"/>
          <w:szCs w:val="20"/>
          <w:lang w:val="en-US"/>
        </w:rPr>
        <w:t>ily</w:t>
      </w:r>
      <w:r w:rsidR="002B59CF" w:rsidRPr="003D5BA0">
        <w:rPr>
          <w:rFonts w:asciiTheme="minorHAnsi" w:hAnsiTheme="minorHAnsi" w:cstheme="minorHAnsi"/>
          <w:sz w:val="20"/>
          <w:szCs w:val="20"/>
          <w:lang w:val="en-US"/>
        </w:rPr>
        <w:t xml:space="preserve"> motivat</w:t>
      </w:r>
      <w:r w:rsidR="00F52D6A" w:rsidRPr="003D5BA0">
        <w:rPr>
          <w:rFonts w:asciiTheme="minorHAnsi" w:hAnsiTheme="minorHAnsi" w:cstheme="minorHAnsi"/>
          <w:sz w:val="20"/>
          <w:szCs w:val="20"/>
          <w:lang w:val="en-US"/>
        </w:rPr>
        <w:t xml:space="preserve">ed by </w:t>
      </w:r>
      <w:r w:rsidR="002B59CF" w:rsidRPr="003D5BA0">
        <w:rPr>
          <w:rFonts w:asciiTheme="minorHAnsi" w:hAnsiTheme="minorHAnsi" w:cstheme="minorHAnsi"/>
          <w:sz w:val="20"/>
          <w:szCs w:val="20"/>
          <w:lang w:val="en-US"/>
        </w:rPr>
        <w:t xml:space="preserve"> </w:t>
      </w:r>
      <w:r w:rsidR="00973BDE" w:rsidRPr="003D5BA0">
        <w:rPr>
          <w:rFonts w:asciiTheme="minorHAnsi" w:hAnsiTheme="minorHAnsi" w:cstheme="minorHAnsi"/>
          <w:sz w:val="20"/>
          <w:szCs w:val="20"/>
          <w:lang w:val="en-US"/>
        </w:rPr>
        <w:t>financial</w:t>
      </w:r>
      <w:r w:rsidR="00F52D6A" w:rsidRPr="003D5BA0">
        <w:rPr>
          <w:rFonts w:asciiTheme="minorHAnsi" w:hAnsiTheme="minorHAnsi" w:cstheme="minorHAnsi"/>
          <w:sz w:val="20"/>
          <w:szCs w:val="20"/>
          <w:lang w:val="en-US"/>
        </w:rPr>
        <w:t xml:space="preserve"> gain</w:t>
      </w:r>
      <w:r w:rsidR="00973BDE" w:rsidRPr="003D5BA0">
        <w:rPr>
          <w:rFonts w:asciiTheme="minorHAnsi" w:hAnsiTheme="minorHAnsi" w:cstheme="minorHAnsi"/>
          <w:sz w:val="20"/>
          <w:szCs w:val="20"/>
          <w:lang w:val="en-US"/>
        </w:rPr>
        <w:t>, many factors play into their decision</w:t>
      </w:r>
      <w:r w:rsidR="00F52D6A"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6"/>
      </w:r>
      <w:r w:rsidR="007D7DE5" w:rsidRPr="003D5BA0">
        <w:rPr>
          <w:rFonts w:asciiTheme="minorHAnsi" w:hAnsiTheme="minorHAnsi" w:cstheme="minorHAnsi"/>
          <w:sz w:val="20"/>
          <w:szCs w:val="20"/>
          <w:lang w:val="en-US"/>
        </w:rPr>
        <w:t xml:space="preserve"> </w:t>
      </w:r>
      <w:r w:rsidR="002B4129" w:rsidRPr="003D5BA0">
        <w:rPr>
          <w:rFonts w:asciiTheme="minorHAnsi" w:hAnsiTheme="minorHAnsi" w:cstheme="minorHAnsi"/>
          <w:sz w:val="20"/>
          <w:szCs w:val="20"/>
          <w:lang w:val="en-US"/>
        </w:rPr>
        <w:t xml:space="preserve">Both firefighters and clinical research participants accept financial compensation for their service, yet it is only research participant compensation </w:t>
      </w:r>
      <w:r w:rsidR="00F52D6A" w:rsidRPr="003D5BA0">
        <w:rPr>
          <w:rFonts w:asciiTheme="minorHAnsi" w:hAnsiTheme="minorHAnsi" w:cstheme="minorHAnsi"/>
          <w:sz w:val="20"/>
          <w:szCs w:val="20"/>
          <w:lang w:val="en-US"/>
        </w:rPr>
        <w:t xml:space="preserve">that </w:t>
      </w:r>
      <w:r w:rsidR="002B4129" w:rsidRPr="003D5BA0">
        <w:rPr>
          <w:rFonts w:asciiTheme="minorHAnsi" w:hAnsiTheme="minorHAnsi" w:cstheme="minorHAnsi"/>
          <w:sz w:val="20"/>
          <w:szCs w:val="20"/>
          <w:lang w:val="en-US"/>
        </w:rPr>
        <w:t>is viewed as coercive.</w:t>
      </w:r>
      <w:r w:rsidR="007D7DE5" w:rsidRPr="003D5BA0">
        <w:rPr>
          <w:rFonts w:asciiTheme="minorHAnsi" w:hAnsiTheme="minorHAnsi" w:cstheme="minorHAnsi"/>
          <w:sz w:val="20"/>
          <w:szCs w:val="20"/>
          <w:lang w:val="en-US"/>
        </w:rPr>
        <w:t xml:space="preserve"> </w:t>
      </w:r>
    </w:p>
    <w:p w14:paraId="5D2D7B31" w14:textId="3A467DD9" w:rsidR="002B4129" w:rsidRPr="003D5BA0" w:rsidRDefault="002B4129" w:rsidP="0099462A">
      <w:pPr>
        <w:pStyle w:val="Paragraph"/>
        <w:numPr>
          <w:ilvl w:val="0"/>
          <w:numId w:val="36"/>
        </w:numPr>
        <w:jc w:val="both"/>
        <w:rPr>
          <w:rFonts w:ascii="Calibri Light" w:hAnsi="Calibri Light" w:cs="Calibri Light"/>
          <w:sz w:val="28"/>
          <w:szCs w:val="28"/>
          <w:lang w:val="en-US"/>
        </w:rPr>
      </w:pPr>
      <w:r w:rsidRPr="003D5BA0">
        <w:rPr>
          <w:rFonts w:ascii="Calibri Light" w:hAnsi="Calibri Light" w:cs="Calibri Light"/>
          <w:sz w:val="28"/>
          <w:szCs w:val="28"/>
          <w:lang w:val="en-US"/>
        </w:rPr>
        <w:t>Worker Protections</w:t>
      </w:r>
    </w:p>
    <w:p w14:paraId="24AFEECA" w14:textId="3C7264A9" w:rsidR="002B4129" w:rsidRPr="003D5BA0" w:rsidRDefault="002B4129" w:rsidP="00FF5384">
      <w:pPr>
        <w:pStyle w:val="Keywords"/>
        <w:spacing w:line="240" w:lineRule="auto"/>
        <w:ind w:right="21"/>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It is possible that financial compensation for firefighters is not questioned because their profession is vital. Despite our best efforts, buildings will continue to catch fire and firefighters will put themselves in harm’s way to protect others.</w:t>
      </w:r>
      <w:r w:rsidR="003D5BA0" w:rsidRPr="003D5BA0">
        <w:rPr>
          <w:rFonts w:asciiTheme="minorHAnsi" w:hAnsiTheme="minorHAnsi" w:cstheme="minorHAnsi"/>
          <w:sz w:val="20"/>
          <w:szCs w:val="20"/>
          <w:lang w:val="en-US"/>
        </w:rPr>
        <w:t xml:space="preserve"> Due to </w:t>
      </w:r>
      <w:r w:rsidRPr="003D5BA0">
        <w:rPr>
          <w:rFonts w:asciiTheme="minorHAnsi" w:hAnsiTheme="minorHAnsi" w:cstheme="minorHAnsi"/>
          <w:sz w:val="20"/>
          <w:szCs w:val="20"/>
          <w:lang w:val="en-US"/>
        </w:rPr>
        <w:t xml:space="preserve">this inevitable risk, organizations such as the Occupational Safety and Health Administration </w:t>
      </w:r>
      <w:r w:rsidR="000E6743">
        <w:rPr>
          <w:rFonts w:asciiTheme="minorHAnsi" w:hAnsiTheme="minorHAnsi" w:cstheme="minorHAnsi"/>
          <w:sz w:val="20"/>
          <w:szCs w:val="20"/>
          <w:lang w:val="en-US"/>
        </w:rPr>
        <w:t xml:space="preserve">(OSHA) </w:t>
      </w:r>
      <w:r w:rsidRPr="003D5BA0">
        <w:rPr>
          <w:rFonts w:asciiTheme="minorHAnsi" w:hAnsiTheme="minorHAnsi" w:cstheme="minorHAnsi"/>
          <w:sz w:val="20"/>
          <w:szCs w:val="20"/>
          <w:lang w:val="en-US"/>
        </w:rPr>
        <w:t>have been established to ensure that the risks to firefighters are minimized as much as possible</w:t>
      </w:r>
      <w:r w:rsidR="00F52D6A"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7"/>
      </w:r>
      <w:r w:rsidRPr="003D5BA0">
        <w:rPr>
          <w:rFonts w:asciiTheme="minorHAnsi" w:hAnsiTheme="minorHAnsi" w:cstheme="minorHAnsi"/>
          <w:sz w:val="20"/>
          <w:szCs w:val="20"/>
          <w:lang w:val="en-US"/>
        </w:rPr>
        <w:t xml:space="preserve"> </w:t>
      </w:r>
    </w:p>
    <w:p w14:paraId="268B30C3" w14:textId="396D2195" w:rsidR="00052409" w:rsidRDefault="002B4129" w:rsidP="00FF5384">
      <w:pPr>
        <w:pStyle w:val="Keywords"/>
        <w:spacing w:line="240" w:lineRule="auto"/>
        <w:ind w:right="21"/>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Medical research similarly relies upon IRB</w:t>
      </w:r>
      <w:r w:rsidR="001B7E41" w:rsidRPr="003D5BA0">
        <w:rPr>
          <w:rFonts w:asciiTheme="minorHAnsi" w:hAnsiTheme="minorHAnsi" w:cstheme="minorHAnsi"/>
          <w:sz w:val="20"/>
          <w:szCs w:val="20"/>
          <w:lang w:val="en-US"/>
        </w:rPr>
        <w:t xml:space="preserve">s to </w:t>
      </w:r>
      <w:r w:rsidRPr="003D5BA0">
        <w:rPr>
          <w:rFonts w:asciiTheme="minorHAnsi" w:hAnsiTheme="minorHAnsi" w:cstheme="minorHAnsi"/>
          <w:sz w:val="20"/>
          <w:szCs w:val="20"/>
          <w:lang w:val="en-US"/>
        </w:rPr>
        <w:t>minimiz</w:t>
      </w:r>
      <w:r w:rsidR="001B7E41" w:rsidRPr="003D5BA0">
        <w:rPr>
          <w:rFonts w:asciiTheme="minorHAnsi" w:hAnsiTheme="minorHAnsi" w:cstheme="minorHAnsi"/>
          <w:sz w:val="20"/>
          <w:szCs w:val="20"/>
          <w:lang w:val="en-US"/>
        </w:rPr>
        <w:t>e</w:t>
      </w:r>
      <w:r w:rsidRPr="003D5BA0">
        <w:rPr>
          <w:rFonts w:asciiTheme="minorHAnsi" w:hAnsiTheme="minorHAnsi" w:cstheme="minorHAnsi"/>
          <w:sz w:val="20"/>
          <w:szCs w:val="20"/>
          <w:lang w:val="en-US"/>
        </w:rPr>
        <w:t xml:space="preserve"> risks, assess protocol safety</w:t>
      </w:r>
      <w:r w:rsidR="000E6743">
        <w:rPr>
          <w:rFonts w:asciiTheme="minorHAnsi" w:hAnsiTheme="minorHAnsi" w:cstheme="minorHAnsi"/>
          <w:sz w:val="20"/>
          <w:szCs w:val="20"/>
          <w:lang w:val="en-US"/>
        </w:rPr>
        <w:t>,</w:t>
      </w:r>
      <w:r w:rsidRPr="003D5BA0">
        <w:rPr>
          <w:rFonts w:asciiTheme="minorHAnsi" w:hAnsiTheme="minorHAnsi" w:cstheme="minorHAnsi"/>
          <w:sz w:val="20"/>
          <w:szCs w:val="20"/>
          <w:lang w:val="en-US"/>
        </w:rPr>
        <w:t xml:space="preserve"> and protect participant rights. Prior to any medical research being approved, the IRB reviews the protocol to ensure that the benefits justify the risks and that all ethical guidelines are followed</w:t>
      </w:r>
      <w:r w:rsidR="001B7E41"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8"/>
      </w:r>
      <w:r w:rsidRPr="003D5BA0">
        <w:rPr>
          <w:rFonts w:asciiTheme="minorHAnsi" w:hAnsiTheme="minorHAnsi" w:cstheme="minorHAnsi"/>
          <w:sz w:val="20"/>
          <w:szCs w:val="20"/>
          <w:lang w:val="en-US"/>
        </w:rPr>
        <w:t xml:space="preserve"> </w:t>
      </w:r>
      <w:r w:rsidR="00E23955" w:rsidRPr="003D5BA0">
        <w:rPr>
          <w:rFonts w:asciiTheme="minorHAnsi" w:hAnsiTheme="minorHAnsi" w:cstheme="minorHAnsi"/>
          <w:sz w:val="20"/>
          <w:szCs w:val="20"/>
          <w:lang w:val="en-US"/>
        </w:rPr>
        <w:t>I</w:t>
      </w:r>
      <w:r w:rsidRPr="003D5BA0">
        <w:rPr>
          <w:rFonts w:asciiTheme="minorHAnsi" w:hAnsiTheme="minorHAnsi" w:cstheme="minorHAnsi"/>
          <w:sz w:val="20"/>
          <w:szCs w:val="20"/>
          <w:lang w:val="en-US"/>
        </w:rPr>
        <w:t xml:space="preserve">t would be preferable for neither firefighters nor research participants to be put at risk, yet fires will continue to occur and new drugs will continue to be </w:t>
      </w:r>
      <w:r w:rsidR="00E23955" w:rsidRPr="003D5BA0">
        <w:rPr>
          <w:rFonts w:asciiTheme="minorHAnsi" w:hAnsiTheme="minorHAnsi" w:cstheme="minorHAnsi"/>
          <w:sz w:val="20"/>
          <w:szCs w:val="20"/>
          <w:lang w:val="en-US"/>
        </w:rPr>
        <w:t>clinically tested</w:t>
      </w:r>
      <w:r w:rsidRPr="003D5BA0">
        <w:rPr>
          <w:rFonts w:asciiTheme="minorHAnsi" w:hAnsiTheme="minorHAnsi" w:cstheme="minorHAnsi"/>
          <w:sz w:val="20"/>
          <w:szCs w:val="20"/>
          <w:lang w:val="en-US"/>
        </w:rPr>
        <w:t xml:space="preserve">. </w:t>
      </w:r>
    </w:p>
    <w:p w14:paraId="2AAE1697" w14:textId="77777777" w:rsidR="00A62414" w:rsidRPr="00A62414" w:rsidRDefault="00A62414" w:rsidP="00A62414">
      <w:pPr>
        <w:pStyle w:val="Paragraph"/>
        <w:rPr>
          <w:lang w:val="en-US"/>
        </w:rPr>
      </w:pPr>
    </w:p>
    <w:p w14:paraId="6A197345" w14:textId="61100CCB" w:rsidR="002B4129" w:rsidRPr="003D5BA0" w:rsidRDefault="002B4129" w:rsidP="0099462A">
      <w:pPr>
        <w:pStyle w:val="Paragraph"/>
        <w:numPr>
          <w:ilvl w:val="0"/>
          <w:numId w:val="36"/>
        </w:numPr>
        <w:jc w:val="both"/>
        <w:rPr>
          <w:rFonts w:ascii="Calibri Light" w:hAnsi="Calibri Light" w:cs="Calibri Light"/>
          <w:sz w:val="28"/>
          <w:szCs w:val="28"/>
          <w:lang w:val="en-US"/>
        </w:rPr>
      </w:pPr>
      <w:r w:rsidRPr="003D5BA0">
        <w:rPr>
          <w:rFonts w:ascii="Calibri Light" w:hAnsi="Calibri Light" w:cs="Calibri Light"/>
          <w:sz w:val="28"/>
          <w:szCs w:val="28"/>
          <w:lang w:val="en-US"/>
        </w:rPr>
        <w:lastRenderedPageBreak/>
        <w:t>Societal Benefits</w:t>
      </w:r>
    </w:p>
    <w:p w14:paraId="61756E98" w14:textId="767ACC8E" w:rsidR="002B4129" w:rsidRPr="003D5BA0" w:rsidRDefault="00E23955" w:rsidP="00FF5384">
      <w:pPr>
        <w:pStyle w:val="Keywords"/>
        <w:spacing w:line="240" w:lineRule="auto"/>
        <w:ind w:right="21"/>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 xml:space="preserve">A common concern </w:t>
      </w:r>
      <w:r w:rsidR="002B4129" w:rsidRPr="003D5BA0">
        <w:rPr>
          <w:rFonts w:asciiTheme="minorHAnsi" w:hAnsiTheme="minorHAnsi" w:cstheme="minorHAnsi"/>
          <w:sz w:val="20"/>
          <w:szCs w:val="20"/>
          <w:lang w:val="en-US"/>
        </w:rPr>
        <w:t>is that research participants are unlikely to receive the benefits of the drug post-approval</w:t>
      </w:r>
      <w:r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9"/>
      </w:r>
      <w:r w:rsidR="002B4129" w:rsidRPr="003D5BA0">
        <w:rPr>
          <w:rFonts w:asciiTheme="minorHAnsi" w:hAnsiTheme="minorHAnsi" w:cstheme="minorHAnsi"/>
          <w:sz w:val="20"/>
          <w:szCs w:val="20"/>
          <w:lang w:val="en-US"/>
        </w:rPr>
        <w:t xml:space="preserve"> </w:t>
      </w:r>
      <w:r w:rsidR="008F044F">
        <w:rPr>
          <w:rFonts w:asciiTheme="minorHAnsi" w:hAnsiTheme="minorHAnsi" w:cstheme="minorHAnsi"/>
          <w:sz w:val="20"/>
          <w:szCs w:val="20"/>
          <w:lang w:val="en-US"/>
        </w:rPr>
        <w:t>There is no concern that firefighters’ services do not benefit the firefighter directly. Both clinical trial participants and firefighters assume risk for the benefit of society as a whole, yet research is viewed with skepticism. There is no reason the assumption of risk should be evaluated by such different standards.</w:t>
      </w:r>
    </w:p>
    <w:p w14:paraId="6D68149A" w14:textId="2F7CC680" w:rsidR="002B4129" w:rsidRPr="003D5BA0" w:rsidRDefault="002B4129" w:rsidP="00FF5384">
      <w:pPr>
        <w:pStyle w:val="Keywords"/>
        <w:spacing w:line="240" w:lineRule="auto"/>
        <w:ind w:right="21"/>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While the principle of justice dictate</w:t>
      </w:r>
      <w:r w:rsidR="003803B6" w:rsidRPr="003D5BA0">
        <w:rPr>
          <w:rFonts w:asciiTheme="minorHAnsi" w:hAnsiTheme="minorHAnsi" w:cstheme="minorHAnsi"/>
          <w:sz w:val="20"/>
          <w:szCs w:val="20"/>
          <w:lang w:val="en-US"/>
        </w:rPr>
        <w:t>s</w:t>
      </w:r>
      <w:r w:rsidRPr="003D5BA0">
        <w:rPr>
          <w:rFonts w:asciiTheme="minorHAnsi" w:hAnsiTheme="minorHAnsi" w:cstheme="minorHAnsi"/>
          <w:sz w:val="20"/>
          <w:szCs w:val="20"/>
          <w:lang w:val="en-US"/>
        </w:rPr>
        <w:t xml:space="preserve"> that no one group should bear the burden of the risks</w:t>
      </w:r>
      <w:r w:rsidR="00E23955"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10"/>
      </w:r>
      <w:r w:rsidRPr="003D5BA0">
        <w:rPr>
          <w:rFonts w:asciiTheme="minorHAnsi" w:hAnsiTheme="minorHAnsi" w:cstheme="minorHAnsi"/>
          <w:sz w:val="20"/>
          <w:szCs w:val="20"/>
          <w:lang w:val="en-US"/>
        </w:rPr>
        <w:t xml:space="preserve"> this should not be interpreted to imply that a violation has occurred if the participant is unlikely to benefit directly</w:t>
      </w:r>
      <w:r w:rsidR="00E23955"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11"/>
      </w:r>
      <w:bookmarkStart w:id="0" w:name="_3dy6vkm" w:colFirst="0" w:colLast="0"/>
      <w:bookmarkEnd w:id="0"/>
      <w:r w:rsidRPr="003D5BA0">
        <w:rPr>
          <w:rFonts w:asciiTheme="minorHAnsi" w:hAnsiTheme="minorHAnsi" w:cstheme="minorHAnsi"/>
          <w:sz w:val="20"/>
          <w:szCs w:val="20"/>
          <w:lang w:val="en-US"/>
        </w:rPr>
        <w:t xml:space="preserve"> In fact, </w:t>
      </w:r>
      <w:r w:rsidR="00A35692" w:rsidRPr="003D5BA0">
        <w:rPr>
          <w:rFonts w:asciiTheme="minorHAnsi" w:hAnsiTheme="minorHAnsi" w:cstheme="minorHAnsi"/>
          <w:sz w:val="20"/>
          <w:szCs w:val="20"/>
          <w:lang w:val="en-US"/>
        </w:rPr>
        <w:t xml:space="preserve">one of the key distinctions between medical research and medical care is that the goal of research is to expand knowledge rather than provide direct benefit, a fallacy called the </w:t>
      </w:r>
      <w:r w:rsidRPr="003D5BA0">
        <w:rPr>
          <w:rFonts w:asciiTheme="minorHAnsi" w:hAnsiTheme="minorHAnsi" w:cstheme="minorHAnsi"/>
          <w:sz w:val="20"/>
          <w:szCs w:val="20"/>
          <w:lang w:val="en-US"/>
        </w:rPr>
        <w:t>therapeutic misconception</w:t>
      </w:r>
      <w:r w:rsidR="00A35692"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12"/>
      </w:r>
    </w:p>
    <w:p w14:paraId="1DED9633" w14:textId="09D6E0A9" w:rsidR="006D0D7A" w:rsidRPr="003D5BA0" w:rsidRDefault="006E6F08" w:rsidP="00FF5384">
      <w:pPr>
        <w:pStyle w:val="Paragraph"/>
        <w:ind w:left="720"/>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 xml:space="preserve">There </w:t>
      </w:r>
      <w:r w:rsidR="006D0D7A" w:rsidRPr="003D5BA0">
        <w:rPr>
          <w:rFonts w:asciiTheme="minorHAnsi" w:hAnsiTheme="minorHAnsi" w:cstheme="minorHAnsi"/>
          <w:sz w:val="20"/>
          <w:szCs w:val="20"/>
          <w:lang w:val="en-US"/>
        </w:rPr>
        <w:t xml:space="preserve">are systematic differences in the protections provided to traditional employees compared to research participants. For example, research participants in </w:t>
      </w:r>
      <w:r w:rsidR="000855F3" w:rsidRPr="003D5BA0">
        <w:rPr>
          <w:rFonts w:asciiTheme="minorHAnsi" w:hAnsiTheme="minorHAnsi" w:cstheme="minorHAnsi"/>
          <w:sz w:val="20"/>
          <w:szCs w:val="20"/>
          <w:lang w:val="en-US"/>
        </w:rPr>
        <w:t>p</w:t>
      </w:r>
      <w:r w:rsidR="006D0D7A" w:rsidRPr="003D5BA0">
        <w:rPr>
          <w:rFonts w:asciiTheme="minorHAnsi" w:hAnsiTheme="minorHAnsi" w:cstheme="minorHAnsi"/>
          <w:sz w:val="20"/>
          <w:szCs w:val="20"/>
          <w:lang w:val="en-US"/>
        </w:rPr>
        <w:t xml:space="preserve">hase </w:t>
      </w:r>
      <w:r w:rsidR="000855F3" w:rsidRPr="003D5BA0">
        <w:rPr>
          <w:rFonts w:asciiTheme="minorHAnsi" w:hAnsiTheme="minorHAnsi" w:cstheme="minorHAnsi"/>
          <w:sz w:val="20"/>
          <w:szCs w:val="20"/>
          <w:lang w:val="en-US"/>
        </w:rPr>
        <w:t>one</w:t>
      </w:r>
      <w:r w:rsidR="006D0D7A" w:rsidRPr="003D5BA0">
        <w:rPr>
          <w:rFonts w:asciiTheme="minorHAnsi" w:hAnsiTheme="minorHAnsi" w:cstheme="minorHAnsi"/>
          <w:sz w:val="20"/>
          <w:szCs w:val="20"/>
          <w:lang w:val="en-US"/>
        </w:rPr>
        <w:t xml:space="preserve"> trials are considered independent contractors and are exempt from the benefits provided to employees, such as workers compensation or disability and health insurance</w:t>
      </w:r>
      <w:r w:rsidR="003803B6"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13"/>
      </w:r>
      <w:r w:rsidR="006D0D7A" w:rsidRPr="003D5BA0">
        <w:rPr>
          <w:rFonts w:asciiTheme="minorHAnsi" w:hAnsiTheme="minorHAnsi" w:cstheme="minorHAnsi"/>
          <w:sz w:val="20"/>
          <w:szCs w:val="20"/>
          <w:lang w:val="en-US"/>
        </w:rPr>
        <w:t xml:space="preserve"> While this point is appreciated, this is more a critique of the gig economy</w:t>
      </w:r>
      <w:r w:rsidR="00817C6D" w:rsidRPr="003D5BA0">
        <w:rPr>
          <w:rStyle w:val="EndnoteReference"/>
          <w:rFonts w:asciiTheme="minorHAnsi" w:hAnsiTheme="minorHAnsi" w:cstheme="minorHAnsi"/>
          <w:sz w:val="20"/>
          <w:szCs w:val="20"/>
          <w:lang w:val="en-US"/>
        </w:rPr>
        <w:endnoteReference w:id="14"/>
      </w:r>
      <w:r w:rsidR="00817C6D" w:rsidRPr="003D5BA0">
        <w:rPr>
          <w:rFonts w:asciiTheme="minorHAnsi" w:hAnsiTheme="minorHAnsi" w:cstheme="minorHAnsi"/>
          <w:sz w:val="20"/>
          <w:szCs w:val="20"/>
          <w:lang w:val="en-US"/>
        </w:rPr>
        <w:t xml:space="preserve"> </w:t>
      </w:r>
      <w:r w:rsidR="006D0D7A" w:rsidRPr="003D5BA0">
        <w:rPr>
          <w:rFonts w:asciiTheme="minorHAnsi" w:hAnsiTheme="minorHAnsi" w:cstheme="minorHAnsi"/>
          <w:sz w:val="20"/>
          <w:szCs w:val="20"/>
          <w:lang w:val="en-US"/>
        </w:rPr>
        <w:t>than of the ethical implications of compensation in clinical trials.</w:t>
      </w:r>
    </w:p>
    <w:p w14:paraId="62F77F45" w14:textId="239DFFA3" w:rsidR="00E02328" w:rsidRPr="003D5BA0" w:rsidRDefault="00052409" w:rsidP="0099462A">
      <w:pPr>
        <w:pStyle w:val="Paragraph"/>
        <w:numPr>
          <w:ilvl w:val="0"/>
          <w:numId w:val="36"/>
        </w:numPr>
        <w:jc w:val="both"/>
        <w:rPr>
          <w:rFonts w:ascii="Calibri Light" w:hAnsi="Calibri Light" w:cs="Calibri Light"/>
          <w:sz w:val="28"/>
          <w:szCs w:val="28"/>
          <w:lang w:val="en-US"/>
        </w:rPr>
      </w:pPr>
      <w:r w:rsidRPr="003D5BA0">
        <w:rPr>
          <w:rFonts w:ascii="Calibri Light" w:hAnsi="Calibri Light" w:cs="Calibri Light"/>
          <w:sz w:val="28"/>
          <w:szCs w:val="28"/>
          <w:lang w:val="en-US"/>
        </w:rPr>
        <w:t>Synthesis</w:t>
      </w:r>
    </w:p>
    <w:p w14:paraId="77109DFF" w14:textId="5FCC1F6F" w:rsidR="002B4129" w:rsidRPr="003D5BA0" w:rsidRDefault="00E02328" w:rsidP="00FF5384">
      <w:pPr>
        <w:pStyle w:val="Paragraph"/>
        <w:ind w:left="720"/>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Th</w:t>
      </w:r>
      <w:r w:rsidR="006E6F08" w:rsidRPr="003D5BA0">
        <w:rPr>
          <w:rFonts w:asciiTheme="minorHAnsi" w:hAnsiTheme="minorHAnsi" w:cstheme="minorHAnsi"/>
          <w:sz w:val="20"/>
          <w:szCs w:val="20"/>
          <w:lang w:val="en-US"/>
        </w:rPr>
        <w:t>is</w:t>
      </w:r>
      <w:r w:rsidRPr="003D5BA0">
        <w:rPr>
          <w:rFonts w:asciiTheme="minorHAnsi" w:hAnsiTheme="minorHAnsi" w:cstheme="minorHAnsi"/>
          <w:sz w:val="20"/>
          <w:szCs w:val="20"/>
          <w:lang w:val="en-US"/>
        </w:rPr>
        <w:t xml:space="preserve"> comparison </w:t>
      </w:r>
      <w:r w:rsidR="006E6F08" w:rsidRPr="003D5BA0">
        <w:rPr>
          <w:rFonts w:asciiTheme="minorHAnsi" w:hAnsiTheme="minorHAnsi" w:cstheme="minorHAnsi"/>
          <w:sz w:val="20"/>
          <w:szCs w:val="20"/>
          <w:lang w:val="en-US"/>
        </w:rPr>
        <w:t>indicates</w:t>
      </w:r>
      <w:r w:rsidRPr="003D5BA0">
        <w:rPr>
          <w:rFonts w:asciiTheme="minorHAnsi" w:hAnsiTheme="minorHAnsi" w:cstheme="minorHAnsi"/>
          <w:sz w:val="20"/>
          <w:szCs w:val="20"/>
          <w:lang w:val="en-US"/>
        </w:rPr>
        <w:t xml:space="preserve"> that</w:t>
      </w:r>
      <w:r w:rsidR="00A62414">
        <w:rPr>
          <w:rFonts w:asciiTheme="minorHAnsi" w:hAnsiTheme="minorHAnsi" w:cstheme="minorHAnsi"/>
          <w:sz w:val="20"/>
          <w:szCs w:val="20"/>
          <w:lang w:val="en-US"/>
        </w:rPr>
        <w:t xml:space="preserve"> </w:t>
      </w:r>
      <w:r w:rsidR="006E6F08" w:rsidRPr="003D5BA0">
        <w:rPr>
          <w:rFonts w:asciiTheme="minorHAnsi" w:hAnsiTheme="minorHAnsi" w:cstheme="minorHAnsi"/>
          <w:sz w:val="20"/>
          <w:szCs w:val="20"/>
          <w:lang w:val="en-US"/>
        </w:rPr>
        <w:t>in society</w:t>
      </w:r>
      <w:r w:rsidRPr="003D5BA0">
        <w:rPr>
          <w:rFonts w:asciiTheme="minorHAnsi" w:hAnsiTheme="minorHAnsi" w:cstheme="minorHAnsi"/>
          <w:sz w:val="20"/>
          <w:szCs w:val="20"/>
          <w:lang w:val="en-US"/>
        </w:rPr>
        <w:t xml:space="preserve"> </w:t>
      </w:r>
      <w:r w:rsidR="006E6F08" w:rsidRPr="003D5BA0">
        <w:rPr>
          <w:rFonts w:asciiTheme="minorHAnsi" w:hAnsiTheme="minorHAnsi" w:cstheme="minorHAnsi"/>
          <w:sz w:val="20"/>
          <w:szCs w:val="20"/>
          <w:lang w:val="en-US"/>
        </w:rPr>
        <w:t xml:space="preserve">it is acceptable </w:t>
      </w:r>
      <w:r w:rsidRPr="003D5BA0">
        <w:rPr>
          <w:rFonts w:asciiTheme="minorHAnsi" w:hAnsiTheme="minorHAnsi" w:cstheme="minorHAnsi"/>
          <w:sz w:val="20"/>
          <w:szCs w:val="20"/>
          <w:lang w:val="en-US"/>
        </w:rPr>
        <w:t xml:space="preserve">for individuals to assume risk in exchange for financial compensation. However, </w:t>
      </w:r>
      <w:r w:rsidR="006E6F08" w:rsidRPr="003D5BA0">
        <w:rPr>
          <w:rFonts w:asciiTheme="minorHAnsi" w:hAnsiTheme="minorHAnsi" w:cstheme="minorHAnsi"/>
          <w:sz w:val="20"/>
          <w:szCs w:val="20"/>
          <w:lang w:val="en-US"/>
        </w:rPr>
        <w:t xml:space="preserve">in </w:t>
      </w:r>
      <w:r w:rsidRPr="003D5BA0">
        <w:rPr>
          <w:rFonts w:asciiTheme="minorHAnsi" w:hAnsiTheme="minorHAnsi" w:cstheme="minorHAnsi"/>
          <w:sz w:val="20"/>
          <w:szCs w:val="20"/>
          <w:lang w:val="en-US"/>
        </w:rPr>
        <w:t>clinical researc</w:t>
      </w:r>
      <w:r w:rsidR="006E6F08" w:rsidRPr="003D5BA0">
        <w:rPr>
          <w:rFonts w:asciiTheme="minorHAnsi" w:hAnsiTheme="minorHAnsi" w:cstheme="minorHAnsi"/>
          <w:sz w:val="20"/>
          <w:szCs w:val="20"/>
          <w:lang w:val="en-US"/>
        </w:rPr>
        <w:t>h</w:t>
      </w:r>
      <w:r w:rsidRPr="003D5BA0">
        <w:rPr>
          <w:rFonts w:asciiTheme="minorHAnsi" w:hAnsiTheme="minorHAnsi" w:cstheme="minorHAnsi"/>
          <w:sz w:val="20"/>
          <w:szCs w:val="20"/>
          <w:lang w:val="en-US"/>
        </w:rPr>
        <w:t xml:space="preserve"> this accepta</w:t>
      </w:r>
      <w:r w:rsidR="006E6F08" w:rsidRPr="003D5BA0">
        <w:rPr>
          <w:rFonts w:asciiTheme="minorHAnsi" w:hAnsiTheme="minorHAnsi" w:cstheme="minorHAnsi"/>
          <w:sz w:val="20"/>
          <w:szCs w:val="20"/>
          <w:lang w:val="en-US"/>
        </w:rPr>
        <w:t>nce</w:t>
      </w:r>
      <w:r w:rsidRPr="003D5BA0">
        <w:rPr>
          <w:rFonts w:asciiTheme="minorHAnsi" w:hAnsiTheme="minorHAnsi" w:cstheme="minorHAnsi"/>
          <w:sz w:val="20"/>
          <w:szCs w:val="20"/>
          <w:lang w:val="en-US"/>
        </w:rPr>
        <w:t xml:space="preserve"> dissolves. While a literature review </w:t>
      </w:r>
      <w:r w:rsidR="006E6F08" w:rsidRPr="003D5BA0">
        <w:rPr>
          <w:rFonts w:asciiTheme="minorHAnsi" w:hAnsiTheme="minorHAnsi" w:cstheme="minorHAnsi"/>
          <w:sz w:val="20"/>
          <w:szCs w:val="20"/>
          <w:lang w:val="en-US"/>
        </w:rPr>
        <w:t xml:space="preserve">may reveal </w:t>
      </w:r>
      <w:r w:rsidRPr="003D5BA0">
        <w:rPr>
          <w:rFonts w:asciiTheme="minorHAnsi" w:hAnsiTheme="minorHAnsi" w:cstheme="minorHAnsi"/>
          <w:sz w:val="20"/>
          <w:szCs w:val="20"/>
          <w:lang w:val="en-US"/>
        </w:rPr>
        <w:t>the</w:t>
      </w:r>
      <w:r w:rsidR="006E6F08" w:rsidRPr="003D5BA0">
        <w:rPr>
          <w:rFonts w:asciiTheme="minorHAnsi" w:hAnsiTheme="minorHAnsi" w:cstheme="minorHAnsi"/>
          <w:sz w:val="20"/>
          <w:szCs w:val="20"/>
          <w:lang w:val="en-US"/>
        </w:rPr>
        <w:t xml:space="preserve"> reasons for</w:t>
      </w:r>
      <w:r w:rsidRPr="003D5BA0">
        <w:rPr>
          <w:rFonts w:asciiTheme="minorHAnsi" w:hAnsiTheme="minorHAnsi" w:cstheme="minorHAnsi"/>
          <w:sz w:val="20"/>
          <w:szCs w:val="20"/>
          <w:lang w:val="en-US"/>
        </w:rPr>
        <w:t xml:space="preserve"> unease surrounding financial compensation in medical research, it is more important to assess who is voicing th</w:t>
      </w:r>
      <w:r w:rsidR="006E6F08" w:rsidRPr="003D5BA0">
        <w:rPr>
          <w:rFonts w:asciiTheme="minorHAnsi" w:hAnsiTheme="minorHAnsi" w:cstheme="minorHAnsi"/>
          <w:sz w:val="20"/>
          <w:szCs w:val="20"/>
          <w:lang w:val="en-US"/>
        </w:rPr>
        <w:t>is</w:t>
      </w:r>
      <w:r w:rsidRPr="003D5BA0">
        <w:rPr>
          <w:rFonts w:asciiTheme="minorHAnsi" w:hAnsiTheme="minorHAnsi" w:cstheme="minorHAnsi"/>
          <w:sz w:val="20"/>
          <w:szCs w:val="20"/>
          <w:lang w:val="en-US"/>
        </w:rPr>
        <w:t xml:space="preserve"> dissent. </w:t>
      </w:r>
    </w:p>
    <w:p w14:paraId="2F1BF2E0" w14:textId="5713AE4B" w:rsidR="00E02328" w:rsidRPr="003D5BA0" w:rsidRDefault="00E02328" w:rsidP="00FF5384">
      <w:pPr>
        <w:pStyle w:val="Paragraph"/>
        <w:ind w:left="720"/>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 xml:space="preserve">The debate </w:t>
      </w:r>
      <w:r w:rsidR="009C6392">
        <w:rPr>
          <w:rFonts w:asciiTheme="minorHAnsi" w:hAnsiTheme="minorHAnsi" w:cstheme="minorHAnsi"/>
          <w:sz w:val="20"/>
          <w:szCs w:val="20"/>
          <w:lang w:val="en-US"/>
        </w:rPr>
        <w:t xml:space="preserve">over </w:t>
      </w:r>
      <w:r w:rsidRPr="003D5BA0">
        <w:rPr>
          <w:rFonts w:asciiTheme="minorHAnsi" w:hAnsiTheme="minorHAnsi" w:cstheme="minorHAnsi"/>
          <w:sz w:val="20"/>
          <w:szCs w:val="20"/>
          <w:lang w:val="en-US"/>
        </w:rPr>
        <w:t xml:space="preserve">whether and how much research participants should be paid has been going </w:t>
      </w:r>
      <w:r w:rsidR="009C6392">
        <w:rPr>
          <w:rFonts w:asciiTheme="minorHAnsi" w:hAnsiTheme="minorHAnsi" w:cstheme="minorHAnsi"/>
          <w:sz w:val="20"/>
          <w:szCs w:val="20"/>
          <w:lang w:val="en-US"/>
        </w:rPr>
        <w:t xml:space="preserve">on </w:t>
      </w:r>
      <w:r w:rsidRPr="003D5BA0">
        <w:rPr>
          <w:rFonts w:asciiTheme="minorHAnsi" w:hAnsiTheme="minorHAnsi" w:cstheme="minorHAnsi"/>
          <w:sz w:val="20"/>
          <w:szCs w:val="20"/>
          <w:lang w:val="en-US"/>
        </w:rPr>
        <w:t>for decades</w:t>
      </w:r>
      <w:r w:rsidR="00A62414">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15"/>
      </w:r>
      <w:r w:rsidRPr="003D5BA0">
        <w:rPr>
          <w:rFonts w:asciiTheme="minorHAnsi" w:hAnsiTheme="minorHAnsi" w:cstheme="minorHAnsi"/>
          <w:sz w:val="20"/>
          <w:szCs w:val="20"/>
          <w:lang w:val="en-US"/>
        </w:rPr>
        <w:t xml:space="preserve"> </w:t>
      </w:r>
      <w:r w:rsidR="00A62414">
        <w:rPr>
          <w:rFonts w:asciiTheme="minorHAnsi" w:hAnsiTheme="minorHAnsi" w:cstheme="minorHAnsi"/>
          <w:sz w:val="20"/>
          <w:szCs w:val="20"/>
          <w:lang w:val="en-US"/>
        </w:rPr>
        <w:t>M</w:t>
      </w:r>
      <w:r w:rsidRPr="003D5BA0">
        <w:rPr>
          <w:rFonts w:asciiTheme="minorHAnsi" w:hAnsiTheme="minorHAnsi" w:cstheme="minorHAnsi"/>
          <w:sz w:val="20"/>
          <w:szCs w:val="20"/>
          <w:lang w:val="en-US"/>
        </w:rPr>
        <w:t>uch of this debate occurs at an academic level</w:t>
      </w:r>
      <w:r w:rsidR="003803B6" w:rsidRPr="003D5BA0">
        <w:rPr>
          <w:rFonts w:asciiTheme="minorHAnsi" w:hAnsiTheme="minorHAnsi" w:cstheme="minorHAnsi"/>
          <w:sz w:val="20"/>
          <w:szCs w:val="20"/>
          <w:lang w:val="en-US"/>
        </w:rPr>
        <w:t>.</w:t>
      </w:r>
      <w:r w:rsidRPr="003D5BA0">
        <w:rPr>
          <w:rFonts w:asciiTheme="minorHAnsi" w:hAnsiTheme="minorHAnsi" w:cstheme="minorHAnsi"/>
          <w:sz w:val="20"/>
          <w:szCs w:val="20"/>
          <w:lang w:val="en-US"/>
        </w:rPr>
        <w:t xml:space="preserve"> </w:t>
      </w:r>
      <w:r w:rsidR="003803B6" w:rsidRPr="003D5BA0">
        <w:rPr>
          <w:rFonts w:asciiTheme="minorHAnsi" w:hAnsiTheme="minorHAnsi" w:cstheme="minorHAnsi"/>
          <w:sz w:val="20"/>
          <w:szCs w:val="20"/>
          <w:lang w:val="en-US"/>
        </w:rPr>
        <w:t>E</w:t>
      </w:r>
      <w:r w:rsidRPr="003D5BA0">
        <w:rPr>
          <w:rFonts w:asciiTheme="minorHAnsi" w:hAnsiTheme="minorHAnsi" w:cstheme="minorHAnsi"/>
          <w:sz w:val="20"/>
          <w:szCs w:val="20"/>
          <w:lang w:val="en-US"/>
        </w:rPr>
        <w:t xml:space="preserve">thicists and clinical researchers </w:t>
      </w:r>
      <w:r w:rsidR="003803B6" w:rsidRPr="003D5BA0">
        <w:rPr>
          <w:rFonts w:asciiTheme="minorHAnsi" w:hAnsiTheme="minorHAnsi" w:cstheme="minorHAnsi"/>
          <w:sz w:val="20"/>
          <w:szCs w:val="20"/>
          <w:lang w:val="en-US"/>
        </w:rPr>
        <w:t xml:space="preserve">have </w:t>
      </w:r>
      <w:r w:rsidRPr="003D5BA0">
        <w:rPr>
          <w:rFonts w:asciiTheme="minorHAnsi" w:hAnsiTheme="minorHAnsi" w:cstheme="minorHAnsi"/>
          <w:sz w:val="20"/>
          <w:szCs w:val="20"/>
          <w:lang w:val="en-US"/>
        </w:rPr>
        <w:t>d</w:t>
      </w:r>
      <w:r w:rsidR="003803B6" w:rsidRPr="003D5BA0">
        <w:rPr>
          <w:rFonts w:asciiTheme="minorHAnsi" w:hAnsiTheme="minorHAnsi" w:cstheme="minorHAnsi"/>
          <w:sz w:val="20"/>
          <w:szCs w:val="20"/>
          <w:lang w:val="en-US"/>
        </w:rPr>
        <w:t>ebated</w:t>
      </w:r>
      <w:r w:rsidRPr="003D5BA0">
        <w:rPr>
          <w:rFonts w:asciiTheme="minorHAnsi" w:hAnsiTheme="minorHAnsi" w:cstheme="minorHAnsi"/>
          <w:sz w:val="20"/>
          <w:szCs w:val="20"/>
          <w:lang w:val="en-US"/>
        </w:rPr>
        <w:t xml:space="preserve"> what is most appropriate for the participants</w:t>
      </w:r>
      <w:r w:rsidR="003803B6" w:rsidRPr="003D5BA0">
        <w:rPr>
          <w:rFonts w:asciiTheme="minorHAnsi" w:hAnsiTheme="minorHAnsi" w:cstheme="minorHAnsi"/>
          <w:sz w:val="20"/>
          <w:szCs w:val="20"/>
          <w:lang w:val="en-US"/>
        </w:rPr>
        <w:t xml:space="preserve"> </w:t>
      </w:r>
      <w:r w:rsidR="003803B6" w:rsidRPr="003D5BA0">
        <w:rPr>
          <w:rFonts w:asciiTheme="minorHAnsi" w:hAnsiTheme="minorHAnsi" w:cstheme="minorHAnsi"/>
          <w:i/>
          <w:iCs/>
          <w:sz w:val="20"/>
          <w:szCs w:val="20"/>
          <w:lang w:val="en-US"/>
        </w:rPr>
        <w:t>ad infinitum</w:t>
      </w:r>
      <w:r w:rsidR="006E6F08"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16"/>
      </w:r>
      <w:r w:rsidR="000C19F1" w:rsidRPr="003D5BA0">
        <w:rPr>
          <w:rFonts w:asciiTheme="minorHAnsi" w:hAnsiTheme="minorHAnsi" w:cstheme="minorHAnsi"/>
          <w:sz w:val="20"/>
          <w:szCs w:val="20"/>
          <w:lang w:val="en-US"/>
        </w:rPr>
        <w:t xml:space="preserve"> </w:t>
      </w:r>
      <w:r w:rsidR="00784CD0" w:rsidRPr="003D5BA0">
        <w:rPr>
          <w:rFonts w:asciiTheme="minorHAnsi" w:hAnsiTheme="minorHAnsi" w:cstheme="minorHAnsi"/>
          <w:sz w:val="20"/>
          <w:szCs w:val="20"/>
          <w:lang w:val="en-US"/>
        </w:rPr>
        <w:t>However, t</w:t>
      </w:r>
      <w:r w:rsidR="006E6F08" w:rsidRPr="003D5BA0">
        <w:rPr>
          <w:rFonts w:asciiTheme="minorHAnsi" w:hAnsiTheme="minorHAnsi" w:cstheme="minorHAnsi"/>
          <w:sz w:val="20"/>
          <w:szCs w:val="20"/>
          <w:lang w:val="en-US"/>
        </w:rPr>
        <w:t>he</w:t>
      </w:r>
      <w:r w:rsidRPr="003D5BA0">
        <w:rPr>
          <w:rFonts w:asciiTheme="minorHAnsi" w:hAnsiTheme="minorHAnsi" w:cstheme="minorHAnsi"/>
          <w:sz w:val="20"/>
          <w:szCs w:val="20"/>
          <w:lang w:val="en-US"/>
        </w:rPr>
        <w:t xml:space="preserve"> research </w:t>
      </w:r>
      <w:r w:rsidR="006E6F08" w:rsidRPr="003D5BA0">
        <w:rPr>
          <w:rFonts w:asciiTheme="minorHAnsi" w:hAnsiTheme="minorHAnsi" w:cstheme="minorHAnsi"/>
          <w:sz w:val="20"/>
          <w:szCs w:val="20"/>
          <w:lang w:val="en-US"/>
        </w:rPr>
        <w:t>fail</w:t>
      </w:r>
      <w:r w:rsidR="00784CD0" w:rsidRPr="003D5BA0">
        <w:rPr>
          <w:rFonts w:asciiTheme="minorHAnsi" w:hAnsiTheme="minorHAnsi" w:cstheme="minorHAnsi"/>
          <w:sz w:val="20"/>
          <w:szCs w:val="20"/>
          <w:lang w:val="en-US"/>
        </w:rPr>
        <w:t>s</w:t>
      </w:r>
      <w:r w:rsidR="006E6F08" w:rsidRPr="003D5BA0">
        <w:rPr>
          <w:rFonts w:asciiTheme="minorHAnsi" w:hAnsiTheme="minorHAnsi" w:cstheme="minorHAnsi"/>
          <w:sz w:val="20"/>
          <w:szCs w:val="20"/>
          <w:lang w:val="en-US"/>
        </w:rPr>
        <w:t xml:space="preserve"> to </w:t>
      </w:r>
      <w:r w:rsidRPr="003D5BA0">
        <w:rPr>
          <w:rFonts w:asciiTheme="minorHAnsi" w:hAnsiTheme="minorHAnsi" w:cstheme="minorHAnsi"/>
          <w:sz w:val="20"/>
          <w:szCs w:val="20"/>
          <w:lang w:val="en-US"/>
        </w:rPr>
        <w:t>elicit the attitudes of study participants and non</w:t>
      </w:r>
      <w:r w:rsidR="00672E2F">
        <w:rPr>
          <w:rFonts w:asciiTheme="minorHAnsi" w:hAnsiTheme="minorHAnsi" w:cstheme="minorHAnsi"/>
          <w:sz w:val="20"/>
          <w:szCs w:val="20"/>
          <w:lang w:val="en-US"/>
        </w:rPr>
        <w:t>-</w:t>
      </w:r>
      <w:r w:rsidRPr="003D5BA0">
        <w:rPr>
          <w:rFonts w:asciiTheme="minorHAnsi" w:hAnsiTheme="minorHAnsi" w:cstheme="minorHAnsi"/>
          <w:sz w:val="20"/>
          <w:szCs w:val="20"/>
          <w:lang w:val="en-US"/>
        </w:rPr>
        <w:t>academics</w:t>
      </w:r>
      <w:r w:rsidR="00835F7E" w:rsidRPr="003D5BA0">
        <w:rPr>
          <w:rFonts w:asciiTheme="minorHAnsi" w:hAnsiTheme="minorHAnsi" w:cstheme="minorHAnsi"/>
          <w:sz w:val="20"/>
          <w:szCs w:val="20"/>
          <w:lang w:val="en-US"/>
        </w:rPr>
        <w:t>.</w:t>
      </w:r>
      <w:r w:rsidRPr="003D5BA0">
        <w:rPr>
          <w:rFonts w:asciiTheme="minorHAnsi" w:hAnsiTheme="minorHAnsi" w:cstheme="minorHAnsi"/>
          <w:sz w:val="20"/>
          <w:szCs w:val="20"/>
          <w:lang w:val="en-US"/>
        </w:rPr>
        <w:t xml:space="preserve"> </w:t>
      </w:r>
      <w:r w:rsidR="00835F7E" w:rsidRPr="003D5BA0">
        <w:rPr>
          <w:rFonts w:asciiTheme="minorHAnsi" w:hAnsiTheme="minorHAnsi" w:cstheme="minorHAnsi"/>
          <w:sz w:val="20"/>
          <w:szCs w:val="20"/>
          <w:lang w:val="en-US"/>
        </w:rPr>
        <w:t>Among</w:t>
      </w:r>
      <w:r w:rsidR="006E6F08" w:rsidRPr="003D5BA0">
        <w:rPr>
          <w:rFonts w:asciiTheme="minorHAnsi" w:hAnsiTheme="minorHAnsi" w:cstheme="minorHAnsi"/>
          <w:sz w:val="20"/>
          <w:szCs w:val="20"/>
          <w:lang w:val="en-US"/>
        </w:rPr>
        <w:t xml:space="preserve"> </w:t>
      </w:r>
      <w:r w:rsidR="00835F7E" w:rsidRPr="003D5BA0">
        <w:rPr>
          <w:rFonts w:asciiTheme="minorHAnsi" w:hAnsiTheme="minorHAnsi" w:cstheme="minorHAnsi"/>
          <w:sz w:val="20"/>
          <w:szCs w:val="20"/>
          <w:lang w:val="en-US"/>
        </w:rPr>
        <w:t>sparse literature, t</w:t>
      </w:r>
      <w:r w:rsidRPr="003D5BA0">
        <w:rPr>
          <w:rFonts w:asciiTheme="minorHAnsi" w:hAnsiTheme="minorHAnsi" w:cstheme="minorHAnsi"/>
          <w:sz w:val="20"/>
          <w:szCs w:val="20"/>
          <w:lang w:val="en-US"/>
        </w:rPr>
        <w:t>he focus</w:t>
      </w:r>
      <w:r w:rsidR="006E6F08" w:rsidRPr="003D5BA0">
        <w:rPr>
          <w:rFonts w:asciiTheme="minorHAnsi" w:hAnsiTheme="minorHAnsi" w:cstheme="minorHAnsi"/>
          <w:sz w:val="20"/>
          <w:szCs w:val="20"/>
          <w:lang w:val="en-US"/>
        </w:rPr>
        <w:t xml:space="preserve"> has been</w:t>
      </w:r>
      <w:r w:rsidRPr="003D5BA0">
        <w:rPr>
          <w:rFonts w:asciiTheme="minorHAnsi" w:hAnsiTheme="minorHAnsi" w:cstheme="minorHAnsi"/>
          <w:sz w:val="20"/>
          <w:szCs w:val="20"/>
          <w:lang w:val="en-US"/>
        </w:rPr>
        <w:t xml:space="preserve"> on the general motivations of study participatio</w:t>
      </w:r>
      <w:r w:rsidR="000C19F1" w:rsidRPr="003D5BA0">
        <w:rPr>
          <w:rFonts w:asciiTheme="minorHAnsi" w:hAnsiTheme="minorHAnsi" w:cstheme="minorHAnsi"/>
          <w:sz w:val="20"/>
          <w:szCs w:val="20"/>
          <w:lang w:val="en-US"/>
        </w:rPr>
        <w:t>n</w:t>
      </w:r>
      <w:r w:rsidR="006E6F08"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17"/>
      </w:r>
      <w:r w:rsidRPr="003D5BA0">
        <w:rPr>
          <w:rFonts w:asciiTheme="minorHAnsi" w:hAnsiTheme="minorHAnsi" w:cstheme="minorHAnsi"/>
          <w:sz w:val="20"/>
          <w:szCs w:val="20"/>
          <w:lang w:val="en-US"/>
        </w:rPr>
        <w:t xml:space="preserve"> with only sporadic studies </w:t>
      </w:r>
      <w:r w:rsidR="00784CD0" w:rsidRPr="003D5BA0">
        <w:rPr>
          <w:rFonts w:asciiTheme="minorHAnsi" w:hAnsiTheme="minorHAnsi" w:cstheme="minorHAnsi"/>
          <w:sz w:val="20"/>
          <w:szCs w:val="20"/>
          <w:lang w:val="en-US"/>
        </w:rPr>
        <w:t xml:space="preserve">featuring </w:t>
      </w:r>
      <w:r w:rsidRPr="003D5BA0">
        <w:rPr>
          <w:rFonts w:asciiTheme="minorHAnsi" w:hAnsiTheme="minorHAnsi" w:cstheme="minorHAnsi"/>
          <w:sz w:val="20"/>
          <w:szCs w:val="20"/>
          <w:lang w:val="en-US"/>
        </w:rPr>
        <w:t>participants</w:t>
      </w:r>
      <w:r w:rsidR="009C6392">
        <w:rPr>
          <w:rFonts w:asciiTheme="minorHAnsi" w:hAnsiTheme="minorHAnsi" w:cstheme="minorHAnsi"/>
          <w:sz w:val="20"/>
          <w:szCs w:val="20"/>
          <w:lang w:val="en-US"/>
        </w:rPr>
        <w:t>’</w:t>
      </w:r>
      <w:r w:rsidRPr="003D5BA0">
        <w:rPr>
          <w:rFonts w:asciiTheme="minorHAnsi" w:hAnsiTheme="minorHAnsi" w:cstheme="minorHAnsi"/>
          <w:sz w:val="20"/>
          <w:szCs w:val="20"/>
          <w:lang w:val="en-US"/>
        </w:rPr>
        <w:t xml:space="preserve"> views</w:t>
      </w:r>
      <w:r w:rsidR="00835F7E" w:rsidRPr="003D5BA0">
        <w:rPr>
          <w:rFonts w:asciiTheme="minorHAnsi" w:hAnsiTheme="minorHAnsi" w:cstheme="minorHAnsi"/>
          <w:sz w:val="20"/>
          <w:szCs w:val="20"/>
          <w:lang w:val="en-US"/>
        </w:rPr>
        <w:t xml:space="preserve"> </w:t>
      </w:r>
      <w:r w:rsidR="00784CD0" w:rsidRPr="003D5BA0">
        <w:rPr>
          <w:rFonts w:asciiTheme="minorHAnsi" w:hAnsiTheme="minorHAnsi" w:cstheme="minorHAnsi"/>
          <w:sz w:val="20"/>
          <w:szCs w:val="20"/>
          <w:lang w:val="en-US"/>
        </w:rPr>
        <w:t xml:space="preserve">on </w:t>
      </w:r>
      <w:r w:rsidR="00835F7E" w:rsidRPr="003D5BA0">
        <w:rPr>
          <w:rFonts w:asciiTheme="minorHAnsi" w:hAnsiTheme="minorHAnsi" w:cstheme="minorHAnsi"/>
          <w:sz w:val="20"/>
          <w:szCs w:val="20"/>
          <w:lang w:val="en-US"/>
        </w:rPr>
        <w:t>financial compensation</w:t>
      </w:r>
      <w:r w:rsidR="006E6F08" w:rsidRPr="003D5BA0">
        <w:rPr>
          <w:rFonts w:asciiTheme="minorHAnsi" w:hAnsiTheme="minorHAnsi" w:cstheme="minorHAnsi"/>
          <w:sz w:val="20"/>
          <w:szCs w:val="20"/>
          <w:lang w:val="en-US"/>
        </w:rPr>
        <w:t>.</w:t>
      </w:r>
      <w:r w:rsidR="00817C6D" w:rsidRPr="003D5BA0">
        <w:rPr>
          <w:rStyle w:val="EndnoteReference"/>
          <w:rFonts w:asciiTheme="minorHAnsi" w:hAnsiTheme="minorHAnsi" w:cstheme="minorHAnsi"/>
          <w:sz w:val="20"/>
          <w:szCs w:val="20"/>
          <w:lang w:val="en-US"/>
        </w:rPr>
        <w:endnoteReference w:id="18"/>
      </w:r>
    </w:p>
    <w:p w14:paraId="1B97E4CC" w14:textId="305579C9" w:rsidR="00E02328" w:rsidRDefault="006E6F08" w:rsidP="00FF5384">
      <w:pPr>
        <w:pStyle w:val="Keywords"/>
        <w:spacing w:line="240" w:lineRule="auto"/>
        <w:ind w:right="21"/>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 xml:space="preserve">It is important to recognize that </w:t>
      </w:r>
      <w:r w:rsidR="00AB470B" w:rsidRPr="003D5BA0">
        <w:rPr>
          <w:rFonts w:asciiTheme="minorHAnsi" w:hAnsiTheme="minorHAnsi" w:cstheme="minorHAnsi"/>
          <w:sz w:val="20"/>
          <w:szCs w:val="20"/>
          <w:lang w:val="en-US"/>
        </w:rPr>
        <w:t>concern</w:t>
      </w:r>
      <w:r w:rsidRPr="003D5BA0">
        <w:rPr>
          <w:rFonts w:asciiTheme="minorHAnsi" w:hAnsiTheme="minorHAnsi" w:cstheme="minorHAnsi"/>
          <w:sz w:val="20"/>
          <w:szCs w:val="20"/>
          <w:lang w:val="en-US"/>
        </w:rPr>
        <w:t>s</w:t>
      </w:r>
      <w:r w:rsidR="00AB470B" w:rsidRPr="003D5BA0">
        <w:rPr>
          <w:rFonts w:asciiTheme="minorHAnsi" w:hAnsiTheme="minorHAnsi" w:cstheme="minorHAnsi"/>
          <w:sz w:val="20"/>
          <w:szCs w:val="20"/>
          <w:lang w:val="en-US"/>
        </w:rPr>
        <w:t xml:space="preserve"> surrounding financial compensation </w:t>
      </w:r>
      <w:r w:rsidR="000855F3" w:rsidRPr="003D5BA0">
        <w:rPr>
          <w:rFonts w:asciiTheme="minorHAnsi" w:hAnsiTheme="minorHAnsi" w:cstheme="minorHAnsi"/>
          <w:sz w:val="20"/>
          <w:szCs w:val="20"/>
          <w:lang w:val="en-US"/>
        </w:rPr>
        <w:t xml:space="preserve">arise </w:t>
      </w:r>
      <w:r w:rsidR="00AB470B" w:rsidRPr="003D5BA0">
        <w:rPr>
          <w:rFonts w:asciiTheme="minorHAnsi" w:hAnsiTheme="minorHAnsi" w:cstheme="minorHAnsi"/>
          <w:sz w:val="20"/>
          <w:szCs w:val="20"/>
          <w:lang w:val="en-US"/>
        </w:rPr>
        <w:t xml:space="preserve">within the research </w:t>
      </w:r>
      <w:r w:rsidR="009C6392">
        <w:rPr>
          <w:rFonts w:asciiTheme="minorHAnsi" w:hAnsiTheme="minorHAnsi" w:cstheme="minorHAnsi"/>
          <w:sz w:val="20"/>
          <w:szCs w:val="20"/>
          <w:lang w:val="en-US"/>
        </w:rPr>
        <w:t xml:space="preserve">and academic </w:t>
      </w:r>
      <w:r w:rsidR="00AB470B" w:rsidRPr="003D5BA0">
        <w:rPr>
          <w:rFonts w:asciiTheme="minorHAnsi" w:hAnsiTheme="minorHAnsi" w:cstheme="minorHAnsi"/>
          <w:sz w:val="20"/>
          <w:szCs w:val="20"/>
          <w:lang w:val="en-US"/>
        </w:rPr>
        <w:t>establishment</w:t>
      </w:r>
      <w:r w:rsidR="009C6392">
        <w:rPr>
          <w:rFonts w:asciiTheme="minorHAnsi" w:hAnsiTheme="minorHAnsi" w:cstheme="minorHAnsi"/>
          <w:sz w:val="20"/>
          <w:szCs w:val="20"/>
          <w:lang w:val="en-US"/>
        </w:rPr>
        <w:t xml:space="preserve"> not from participants themselves</w:t>
      </w:r>
      <w:r w:rsidR="00AB470B" w:rsidRPr="003D5BA0">
        <w:rPr>
          <w:rFonts w:asciiTheme="minorHAnsi" w:hAnsiTheme="minorHAnsi" w:cstheme="minorHAnsi"/>
          <w:sz w:val="20"/>
          <w:szCs w:val="20"/>
          <w:lang w:val="en-US"/>
        </w:rPr>
        <w:t xml:space="preserve">. </w:t>
      </w:r>
      <w:r w:rsidRPr="003D5BA0">
        <w:rPr>
          <w:rFonts w:asciiTheme="minorHAnsi" w:hAnsiTheme="minorHAnsi" w:cstheme="minorHAnsi"/>
          <w:sz w:val="20"/>
          <w:szCs w:val="20"/>
          <w:lang w:val="en-US"/>
        </w:rPr>
        <w:t>This</w:t>
      </w:r>
      <w:r w:rsidR="009D06D2" w:rsidRPr="003D5BA0">
        <w:rPr>
          <w:rFonts w:asciiTheme="minorHAnsi" w:hAnsiTheme="minorHAnsi" w:cstheme="minorHAnsi"/>
          <w:sz w:val="20"/>
          <w:szCs w:val="20"/>
          <w:lang w:val="en-US"/>
        </w:rPr>
        <w:t xml:space="preserve"> suggest</w:t>
      </w:r>
      <w:r w:rsidR="000855F3" w:rsidRPr="003D5BA0">
        <w:rPr>
          <w:rFonts w:asciiTheme="minorHAnsi" w:hAnsiTheme="minorHAnsi" w:cstheme="minorHAnsi"/>
          <w:sz w:val="20"/>
          <w:szCs w:val="20"/>
          <w:lang w:val="en-US"/>
        </w:rPr>
        <w:t>s</w:t>
      </w:r>
      <w:r w:rsidR="009D06D2" w:rsidRPr="003D5BA0">
        <w:rPr>
          <w:rFonts w:asciiTheme="minorHAnsi" w:hAnsiTheme="minorHAnsi" w:cstheme="minorHAnsi"/>
          <w:sz w:val="20"/>
          <w:szCs w:val="20"/>
          <w:lang w:val="en-US"/>
        </w:rPr>
        <w:t xml:space="preserve"> that </w:t>
      </w:r>
      <w:r w:rsidR="00BA7B96" w:rsidRPr="003D5BA0">
        <w:rPr>
          <w:rFonts w:asciiTheme="minorHAnsi" w:hAnsiTheme="minorHAnsi" w:cstheme="minorHAnsi"/>
          <w:sz w:val="20"/>
          <w:szCs w:val="20"/>
          <w:lang w:val="en-US"/>
        </w:rPr>
        <w:t xml:space="preserve">researchers </w:t>
      </w:r>
      <w:r w:rsidR="009D06D2" w:rsidRPr="003D5BA0">
        <w:rPr>
          <w:rFonts w:asciiTheme="minorHAnsi" w:hAnsiTheme="minorHAnsi" w:cstheme="minorHAnsi"/>
          <w:sz w:val="20"/>
          <w:szCs w:val="20"/>
          <w:lang w:val="en-US"/>
        </w:rPr>
        <w:t xml:space="preserve">hold the view that </w:t>
      </w:r>
      <w:r w:rsidR="00E02328" w:rsidRPr="003D5BA0">
        <w:rPr>
          <w:rFonts w:asciiTheme="minorHAnsi" w:hAnsiTheme="minorHAnsi" w:cstheme="minorHAnsi"/>
          <w:sz w:val="20"/>
          <w:szCs w:val="20"/>
          <w:lang w:val="en-US"/>
        </w:rPr>
        <w:t>clinical research is inherently exploitative</w:t>
      </w:r>
      <w:r w:rsidR="00966C79">
        <w:rPr>
          <w:rFonts w:asciiTheme="minorHAnsi" w:hAnsiTheme="minorHAnsi" w:cstheme="minorHAnsi"/>
          <w:sz w:val="20"/>
          <w:szCs w:val="20"/>
          <w:lang w:val="en-US"/>
        </w:rPr>
        <w:t>.</w:t>
      </w:r>
      <w:r w:rsidR="00672E2F">
        <w:rPr>
          <w:rFonts w:asciiTheme="minorHAnsi" w:hAnsiTheme="minorHAnsi" w:cstheme="minorHAnsi"/>
          <w:sz w:val="20"/>
          <w:szCs w:val="20"/>
          <w:lang w:val="en-US"/>
        </w:rPr>
        <w:t xml:space="preserve"> </w:t>
      </w:r>
      <w:r w:rsidR="009D06D2" w:rsidRPr="003D5BA0">
        <w:rPr>
          <w:rFonts w:asciiTheme="minorHAnsi" w:hAnsiTheme="minorHAnsi" w:cstheme="minorHAnsi"/>
          <w:sz w:val="20"/>
          <w:szCs w:val="20"/>
          <w:lang w:val="en-US"/>
        </w:rPr>
        <w:t>Th</w:t>
      </w:r>
      <w:r w:rsidR="00966C79">
        <w:rPr>
          <w:rFonts w:asciiTheme="minorHAnsi" w:hAnsiTheme="minorHAnsi" w:cstheme="minorHAnsi"/>
          <w:sz w:val="20"/>
          <w:szCs w:val="20"/>
          <w:lang w:val="en-US"/>
        </w:rPr>
        <w:t>e concern for exploitation</w:t>
      </w:r>
      <w:r w:rsidR="009D06D2" w:rsidRPr="003D5BA0">
        <w:rPr>
          <w:rFonts w:asciiTheme="minorHAnsi" w:hAnsiTheme="minorHAnsi" w:cstheme="minorHAnsi"/>
          <w:sz w:val="20"/>
          <w:szCs w:val="20"/>
          <w:lang w:val="en-US"/>
        </w:rPr>
        <w:t xml:space="preserve"> arises despit</w:t>
      </w:r>
      <w:r w:rsidR="00BA7B96" w:rsidRPr="003D5BA0">
        <w:rPr>
          <w:rFonts w:asciiTheme="minorHAnsi" w:hAnsiTheme="minorHAnsi" w:cstheme="minorHAnsi"/>
          <w:sz w:val="20"/>
          <w:szCs w:val="20"/>
          <w:lang w:val="en-US"/>
        </w:rPr>
        <w:t xml:space="preserve">e </w:t>
      </w:r>
      <w:r w:rsidR="00966C79">
        <w:rPr>
          <w:rFonts w:asciiTheme="minorHAnsi" w:hAnsiTheme="minorHAnsi" w:cstheme="minorHAnsi"/>
          <w:sz w:val="20"/>
          <w:szCs w:val="20"/>
          <w:lang w:val="en-US"/>
        </w:rPr>
        <w:t xml:space="preserve">preventive measures including a </w:t>
      </w:r>
      <w:r w:rsidR="00BA7B96" w:rsidRPr="003D5BA0">
        <w:rPr>
          <w:rFonts w:asciiTheme="minorHAnsi" w:hAnsiTheme="minorHAnsi" w:cstheme="minorHAnsi"/>
          <w:sz w:val="20"/>
          <w:szCs w:val="20"/>
          <w:lang w:val="en-US"/>
        </w:rPr>
        <w:t>thorough review of protocols by the IRB prior to implementation</w:t>
      </w:r>
      <w:r w:rsidR="00E02328" w:rsidRPr="003D5BA0">
        <w:rPr>
          <w:rFonts w:asciiTheme="minorHAnsi" w:hAnsiTheme="minorHAnsi" w:cstheme="minorHAnsi"/>
          <w:sz w:val="20"/>
          <w:szCs w:val="20"/>
          <w:lang w:val="en-US"/>
        </w:rPr>
        <w:t xml:space="preserve"> a</w:t>
      </w:r>
      <w:r w:rsidR="00966C79">
        <w:rPr>
          <w:rFonts w:asciiTheme="minorHAnsi" w:hAnsiTheme="minorHAnsi" w:cstheme="minorHAnsi"/>
          <w:sz w:val="20"/>
          <w:szCs w:val="20"/>
          <w:lang w:val="en-US"/>
        </w:rPr>
        <w:t>nd</w:t>
      </w:r>
      <w:r w:rsidR="00E02328" w:rsidRPr="003D5BA0">
        <w:rPr>
          <w:rFonts w:asciiTheme="minorHAnsi" w:hAnsiTheme="minorHAnsi" w:cstheme="minorHAnsi"/>
          <w:sz w:val="20"/>
          <w:szCs w:val="20"/>
          <w:lang w:val="en-US"/>
        </w:rPr>
        <w:t xml:space="preserve"> </w:t>
      </w:r>
      <w:r w:rsidR="00966C79">
        <w:rPr>
          <w:rFonts w:asciiTheme="minorHAnsi" w:hAnsiTheme="minorHAnsi" w:cstheme="minorHAnsi"/>
          <w:sz w:val="20"/>
          <w:szCs w:val="20"/>
          <w:lang w:val="en-US"/>
        </w:rPr>
        <w:t xml:space="preserve">the </w:t>
      </w:r>
      <w:r w:rsidR="00E02328" w:rsidRPr="003D5BA0">
        <w:rPr>
          <w:rFonts w:asciiTheme="minorHAnsi" w:hAnsiTheme="minorHAnsi" w:cstheme="minorHAnsi"/>
          <w:sz w:val="20"/>
          <w:szCs w:val="20"/>
          <w:lang w:val="en-US"/>
        </w:rPr>
        <w:t>informed consent process</w:t>
      </w:r>
      <w:r w:rsidR="00784CD0" w:rsidRPr="003D5BA0">
        <w:rPr>
          <w:rFonts w:asciiTheme="minorHAnsi" w:hAnsiTheme="minorHAnsi" w:cstheme="minorHAnsi"/>
          <w:sz w:val="20"/>
          <w:szCs w:val="20"/>
          <w:lang w:val="en-US"/>
        </w:rPr>
        <w:t>es</w:t>
      </w:r>
      <w:r w:rsidR="00E02328" w:rsidRPr="003D5BA0">
        <w:rPr>
          <w:rFonts w:asciiTheme="minorHAnsi" w:hAnsiTheme="minorHAnsi" w:cstheme="minorHAnsi"/>
          <w:sz w:val="20"/>
          <w:szCs w:val="20"/>
          <w:lang w:val="en-US"/>
        </w:rPr>
        <w:t xml:space="preserve"> in which potential participants are provided all necessary information. While there exists the possibility that the informed consent process does not properly convey all relevant information or that the </w:t>
      </w:r>
      <w:r w:rsidR="000D4436" w:rsidRPr="003D5BA0">
        <w:rPr>
          <w:rFonts w:asciiTheme="minorHAnsi" w:hAnsiTheme="minorHAnsi" w:cstheme="minorHAnsi"/>
          <w:sz w:val="20"/>
          <w:szCs w:val="20"/>
          <w:lang w:val="en-US"/>
        </w:rPr>
        <w:t>IRB</w:t>
      </w:r>
      <w:r w:rsidR="001D724D">
        <w:rPr>
          <w:rFonts w:asciiTheme="minorHAnsi" w:hAnsiTheme="minorHAnsi" w:cstheme="minorHAnsi"/>
          <w:sz w:val="20"/>
          <w:szCs w:val="20"/>
          <w:lang w:val="en-US"/>
        </w:rPr>
        <w:t xml:space="preserve"> review is not</w:t>
      </w:r>
      <w:r w:rsidR="000D4436" w:rsidRPr="003D5BA0">
        <w:rPr>
          <w:rFonts w:asciiTheme="minorHAnsi" w:hAnsiTheme="minorHAnsi" w:cstheme="minorHAnsi"/>
          <w:sz w:val="20"/>
          <w:szCs w:val="20"/>
          <w:lang w:val="en-US"/>
        </w:rPr>
        <w:t xml:space="preserve"> sufficient</w:t>
      </w:r>
      <w:r w:rsidR="001D724D">
        <w:rPr>
          <w:rFonts w:asciiTheme="minorHAnsi" w:hAnsiTheme="minorHAnsi" w:cstheme="minorHAnsi"/>
          <w:sz w:val="20"/>
          <w:szCs w:val="20"/>
          <w:lang w:val="en-US"/>
        </w:rPr>
        <w:t xml:space="preserve">, </w:t>
      </w:r>
      <w:r w:rsidR="000D4436" w:rsidRPr="003D5BA0">
        <w:rPr>
          <w:rFonts w:asciiTheme="minorHAnsi" w:hAnsiTheme="minorHAnsi" w:cstheme="minorHAnsi"/>
          <w:sz w:val="20"/>
          <w:szCs w:val="20"/>
          <w:lang w:val="en-US"/>
        </w:rPr>
        <w:t>these are separate issues which do not directly apply</w:t>
      </w:r>
      <w:r w:rsidR="00966C79">
        <w:rPr>
          <w:rFonts w:asciiTheme="minorHAnsi" w:hAnsiTheme="minorHAnsi" w:cstheme="minorHAnsi"/>
          <w:sz w:val="20"/>
          <w:szCs w:val="20"/>
          <w:lang w:val="en-US"/>
        </w:rPr>
        <w:t xml:space="preserve"> to the question of financial coercion.</w:t>
      </w:r>
    </w:p>
    <w:p w14:paraId="1DFFD357" w14:textId="2ED99FD2" w:rsidR="003D5BA0" w:rsidRPr="003D5BA0" w:rsidRDefault="003D5BA0" w:rsidP="003D5BA0">
      <w:pPr>
        <w:pStyle w:val="Paragraph"/>
        <w:rPr>
          <w:rFonts w:ascii="Calibri Light" w:hAnsi="Calibri Light" w:cs="Calibri Light"/>
          <w:sz w:val="32"/>
          <w:szCs w:val="32"/>
          <w:lang w:val="en-US"/>
        </w:rPr>
      </w:pPr>
      <w:r w:rsidRPr="003D5BA0">
        <w:rPr>
          <w:rFonts w:ascii="Calibri Light" w:hAnsi="Calibri Light" w:cs="Calibri Light"/>
          <w:sz w:val="32"/>
          <w:szCs w:val="32"/>
          <w:lang w:val="en-US"/>
        </w:rPr>
        <w:t>C</w:t>
      </w:r>
      <w:r w:rsidR="0099462A">
        <w:rPr>
          <w:rFonts w:ascii="Calibri Light" w:hAnsi="Calibri Light" w:cs="Calibri Light"/>
          <w:sz w:val="32"/>
          <w:szCs w:val="32"/>
          <w:lang w:val="en-US"/>
        </w:rPr>
        <w:t>ONCLUSION</w:t>
      </w:r>
    </w:p>
    <w:p w14:paraId="3A40207A" w14:textId="35B66D44" w:rsidR="000E04F3" w:rsidRPr="003D5BA0" w:rsidRDefault="00B51560" w:rsidP="00FF5384">
      <w:pPr>
        <w:pStyle w:val="Keywords"/>
        <w:spacing w:line="240" w:lineRule="auto"/>
        <w:ind w:right="21"/>
        <w:jc w:val="both"/>
        <w:rPr>
          <w:rFonts w:asciiTheme="minorHAnsi" w:hAnsiTheme="minorHAnsi" w:cstheme="minorHAnsi"/>
          <w:sz w:val="20"/>
          <w:szCs w:val="20"/>
          <w:lang w:val="en-US"/>
        </w:rPr>
      </w:pPr>
      <w:r w:rsidRPr="003D5BA0">
        <w:rPr>
          <w:rFonts w:asciiTheme="minorHAnsi" w:hAnsiTheme="minorHAnsi" w:cstheme="minorHAnsi"/>
          <w:sz w:val="20"/>
          <w:szCs w:val="20"/>
          <w:lang w:val="en-US"/>
        </w:rPr>
        <w:t>C</w:t>
      </w:r>
      <w:r w:rsidR="000D4436" w:rsidRPr="003D5BA0">
        <w:rPr>
          <w:rFonts w:asciiTheme="minorHAnsi" w:hAnsiTheme="minorHAnsi" w:cstheme="minorHAnsi"/>
          <w:sz w:val="20"/>
          <w:szCs w:val="20"/>
          <w:lang w:val="en-US"/>
        </w:rPr>
        <w:t>linical researcher</w:t>
      </w:r>
      <w:r w:rsidRPr="003D5BA0">
        <w:rPr>
          <w:rFonts w:asciiTheme="minorHAnsi" w:hAnsiTheme="minorHAnsi" w:cstheme="minorHAnsi"/>
          <w:sz w:val="20"/>
          <w:szCs w:val="20"/>
          <w:lang w:val="en-US"/>
        </w:rPr>
        <w:t xml:space="preserve">s should </w:t>
      </w:r>
      <w:r w:rsidR="000D4436" w:rsidRPr="003D5BA0">
        <w:rPr>
          <w:rFonts w:asciiTheme="minorHAnsi" w:hAnsiTheme="minorHAnsi" w:cstheme="minorHAnsi"/>
          <w:sz w:val="20"/>
          <w:szCs w:val="20"/>
          <w:lang w:val="en-US"/>
        </w:rPr>
        <w:t>accept the autonomy of potential participants,</w:t>
      </w:r>
      <w:r w:rsidRPr="003D5BA0">
        <w:rPr>
          <w:rFonts w:asciiTheme="minorHAnsi" w:hAnsiTheme="minorHAnsi" w:cstheme="minorHAnsi"/>
          <w:sz w:val="20"/>
          <w:szCs w:val="20"/>
          <w:lang w:val="en-US"/>
        </w:rPr>
        <w:t xml:space="preserve"> leaving them free to </w:t>
      </w:r>
      <w:r w:rsidR="000D4436" w:rsidRPr="003D5BA0">
        <w:rPr>
          <w:rFonts w:asciiTheme="minorHAnsi" w:hAnsiTheme="minorHAnsi" w:cstheme="minorHAnsi"/>
          <w:sz w:val="20"/>
          <w:szCs w:val="20"/>
          <w:lang w:val="en-US"/>
        </w:rPr>
        <w:t>make their own choices</w:t>
      </w:r>
      <w:r w:rsidR="00BA7B96" w:rsidRPr="003D5BA0">
        <w:rPr>
          <w:rFonts w:asciiTheme="minorHAnsi" w:hAnsiTheme="minorHAnsi" w:cstheme="minorHAnsi"/>
          <w:sz w:val="20"/>
          <w:szCs w:val="20"/>
          <w:lang w:val="en-US"/>
        </w:rPr>
        <w:t>.</w:t>
      </w:r>
      <w:r w:rsidR="000D4436" w:rsidRPr="003D5BA0">
        <w:rPr>
          <w:rFonts w:asciiTheme="minorHAnsi" w:hAnsiTheme="minorHAnsi" w:cstheme="minorHAnsi"/>
          <w:sz w:val="20"/>
          <w:szCs w:val="20"/>
          <w:lang w:val="en-US"/>
        </w:rPr>
        <w:t xml:space="preserve"> Just as firefighter</w:t>
      </w:r>
      <w:r w:rsidRPr="003D5BA0">
        <w:rPr>
          <w:rFonts w:asciiTheme="minorHAnsi" w:hAnsiTheme="minorHAnsi" w:cstheme="minorHAnsi"/>
          <w:sz w:val="20"/>
          <w:szCs w:val="20"/>
          <w:lang w:val="en-US"/>
        </w:rPr>
        <w:t xml:space="preserve">s are free </w:t>
      </w:r>
      <w:r w:rsidR="000D4436" w:rsidRPr="003D5BA0">
        <w:rPr>
          <w:rFonts w:asciiTheme="minorHAnsi" w:hAnsiTheme="minorHAnsi" w:cstheme="minorHAnsi"/>
          <w:sz w:val="20"/>
          <w:szCs w:val="20"/>
          <w:lang w:val="en-US"/>
        </w:rPr>
        <w:t>to conduct a risk-benefit assessment to determine whether or not to engage in a risky profession,</w:t>
      </w:r>
      <w:r w:rsidR="00672E2F">
        <w:rPr>
          <w:rFonts w:asciiTheme="minorHAnsi" w:hAnsiTheme="minorHAnsi" w:cstheme="minorHAnsi"/>
          <w:sz w:val="20"/>
          <w:szCs w:val="20"/>
          <w:lang w:val="en-US"/>
        </w:rPr>
        <w:t xml:space="preserve"> </w:t>
      </w:r>
      <w:r w:rsidR="000D4436" w:rsidRPr="003D5BA0">
        <w:rPr>
          <w:rFonts w:asciiTheme="minorHAnsi" w:hAnsiTheme="minorHAnsi" w:cstheme="minorHAnsi"/>
          <w:sz w:val="20"/>
          <w:szCs w:val="20"/>
          <w:lang w:val="en-US"/>
        </w:rPr>
        <w:t>potential research participants</w:t>
      </w:r>
      <w:r w:rsidR="00966C79">
        <w:rPr>
          <w:rFonts w:asciiTheme="minorHAnsi" w:hAnsiTheme="minorHAnsi" w:cstheme="minorHAnsi"/>
          <w:sz w:val="20"/>
          <w:szCs w:val="20"/>
          <w:lang w:val="en-US"/>
        </w:rPr>
        <w:t xml:space="preserve"> should autonomously assess the risks and benefits of participation</w:t>
      </w:r>
      <w:r w:rsidR="000D4436" w:rsidRPr="003D5BA0">
        <w:rPr>
          <w:rFonts w:asciiTheme="minorHAnsi" w:hAnsiTheme="minorHAnsi" w:cstheme="minorHAnsi"/>
          <w:sz w:val="20"/>
          <w:szCs w:val="20"/>
          <w:lang w:val="en-US"/>
        </w:rPr>
        <w:t>. To believe otherwise amounts to paternalistic, patronizing behavior.</w:t>
      </w:r>
    </w:p>
    <w:sectPr w:rsidR="000E04F3" w:rsidRPr="003D5BA0" w:rsidSect="00FF5384">
      <w:headerReference w:type="default" r:id="rId8"/>
      <w:headerReference w:type="first" r:id="rId9"/>
      <w:footerReference w:type="first" r:id="rId10"/>
      <w:endnotePr>
        <w:numFmt w:val="decimal"/>
      </w:endnotePr>
      <w:pgSz w:w="11901"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F46D7" w14:textId="77777777" w:rsidR="00B6214F" w:rsidRDefault="00B6214F" w:rsidP="00AF2C92">
      <w:r>
        <w:separator/>
      </w:r>
    </w:p>
  </w:endnote>
  <w:endnote w:type="continuationSeparator" w:id="0">
    <w:p w14:paraId="0271DF84" w14:textId="77777777" w:rsidR="00B6214F" w:rsidRDefault="00B6214F" w:rsidP="00AF2C92">
      <w:r>
        <w:continuationSeparator/>
      </w:r>
    </w:p>
  </w:endnote>
  <w:endnote w:id="1">
    <w:p w14:paraId="51644C92" w14:textId="10B47F48" w:rsidR="00817C6D" w:rsidRPr="00D32AAE" w:rsidRDefault="00BA0E6C" w:rsidP="00A4787B">
      <w:pPr>
        <w:rPr>
          <w:rFonts w:ascii="Calibri Light" w:hAnsi="Calibri Light" w:cs="Calibri Light"/>
          <w:color w:val="000000" w:themeColor="text1"/>
          <w:sz w:val="18"/>
          <w:szCs w:val="18"/>
          <w:lang w:val="en-US" w:eastAsia="en-US"/>
        </w:rPr>
      </w:pPr>
      <w:r w:rsidRPr="00D32AAE">
        <w:rPr>
          <w:rStyle w:val="EndnoteReference"/>
          <w:rFonts w:ascii="Calibri Light" w:hAnsi="Calibri Light" w:cs="Calibri Light"/>
          <w:color w:val="000000" w:themeColor="text1"/>
          <w:sz w:val="18"/>
          <w:szCs w:val="18"/>
        </w:rPr>
        <w:endnoteRef/>
      </w:r>
      <w:r w:rsidR="00817C6D" w:rsidRPr="00D32AAE">
        <w:rPr>
          <w:rFonts w:ascii="Calibri Light" w:hAnsi="Calibri Light" w:cs="Calibri Light"/>
          <w:color w:val="000000" w:themeColor="text1"/>
          <w:sz w:val="18"/>
          <w:szCs w:val="18"/>
        </w:rPr>
        <w:t xml:space="preserve"> Grant, Ruth W., and Jeremy Sugarman. “Ethics in Human Subjects Research: Do Incentives Matter?” Journal of Medicine and Philosophy 29, no. 6 (December 1, 2004): 717–38. </w:t>
      </w:r>
      <w:hyperlink r:id="rId1" w:history="1">
        <w:r w:rsidR="00817C6D" w:rsidRPr="00D32AAE">
          <w:rPr>
            <w:rStyle w:val="Hyperlink"/>
            <w:rFonts w:ascii="Calibri Light" w:hAnsi="Calibri Light" w:cs="Calibri Light"/>
            <w:color w:val="000000" w:themeColor="text1"/>
            <w:sz w:val="18"/>
            <w:szCs w:val="18"/>
            <w:u w:val="none"/>
          </w:rPr>
          <w:t>https://doi.org/10.1080/03605310490883046</w:t>
        </w:r>
      </w:hyperlink>
      <w:r w:rsidR="00817C6D" w:rsidRPr="00D32AAE">
        <w:rPr>
          <w:rFonts w:ascii="Calibri Light" w:hAnsi="Calibri Light" w:cs="Calibri Light"/>
          <w:color w:val="000000" w:themeColor="text1"/>
          <w:sz w:val="18"/>
          <w:szCs w:val="18"/>
        </w:rPr>
        <w:t xml:space="preserve">; Emanuel, </w:t>
      </w:r>
      <w:r w:rsidR="00817C6D" w:rsidRPr="00D32AAE">
        <w:rPr>
          <w:rFonts w:ascii="Calibri Light" w:hAnsi="Calibri Light" w:cs="Calibri Light"/>
          <w:color w:val="000000" w:themeColor="text1"/>
          <w:sz w:val="18"/>
          <w:szCs w:val="18"/>
          <w:lang w:val="en-US" w:eastAsia="en-US"/>
        </w:rPr>
        <w:t xml:space="preserve">Ezekiel J. “Undue Inducement: Nonsense on Stilts?” The American Journal of Bioethics 5, no. 5 (September 1, 2005): 9–13. </w:t>
      </w:r>
      <w:hyperlink r:id="rId2" w:history="1">
        <w:r w:rsidR="00817C6D" w:rsidRPr="00D32AAE">
          <w:rPr>
            <w:rFonts w:ascii="Calibri Light" w:hAnsi="Calibri Light" w:cs="Calibri Light"/>
            <w:color w:val="000000" w:themeColor="text1"/>
            <w:sz w:val="18"/>
            <w:szCs w:val="18"/>
            <w:lang w:val="en-US" w:eastAsia="en-US"/>
          </w:rPr>
          <w:t>https://doi.org/10.1080/15265160500244959</w:t>
        </w:r>
      </w:hyperlink>
      <w:r w:rsidR="00817C6D" w:rsidRPr="00D32AAE">
        <w:rPr>
          <w:rFonts w:ascii="Calibri Light" w:hAnsi="Calibri Light" w:cs="Calibri Light"/>
          <w:color w:val="000000" w:themeColor="text1"/>
          <w:sz w:val="18"/>
          <w:szCs w:val="18"/>
          <w:lang w:val="en-US" w:eastAsia="en-US"/>
        </w:rPr>
        <w:t>.</w:t>
      </w:r>
    </w:p>
    <w:p w14:paraId="11D1D30D" w14:textId="0FDA6E69" w:rsidR="00817C6D" w:rsidRPr="00D32AAE" w:rsidRDefault="00817C6D">
      <w:pPr>
        <w:pStyle w:val="EndnoteText"/>
        <w:rPr>
          <w:rFonts w:ascii="Calibri Light" w:hAnsi="Calibri Light" w:cs="Calibri Light"/>
          <w:color w:val="000000" w:themeColor="text1"/>
          <w:sz w:val="18"/>
          <w:szCs w:val="18"/>
          <w:lang w:val="en-US"/>
        </w:rPr>
      </w:pPr>
    </w:p>
  </w:endnote>
  <w:endnote w:id="2">
    <w:p w14:paraId="16F2E8D4" w14:textId="3EF5B22C"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Largent, Emily A., Christine Grady, Franklin G. Miller, and Alan Wertheimer. “Money, coercion, and undue inducement: A survey of attitudes about payments to research participants.” IRB 34, no. 1 (2012): 1–8.</w:t>
      </w:r>
      <w:r w:rsidR="003D5BA0" w:rsidRPr="00D32AAE">
        <w:rPr>
          <w:rFonts w:ascii="Calibri Light" w:hAnsi="Calibri Light" w:cs="Calibri Light"/>
          <w:color w:val="000000" w:themeColor="text1"/>
          <w:sz w:val="18"/>
          <w:szCs w:val="18"/>
        </w:rPr>
        <w:t xml:space="preserve"> </w:t>
      </w:r>
    </w:p>
    <w:p w14:paraId="593395BC" w14:textId="7FDABA1E" w:rsidR="00817C6D" w:rsidRPr="00D32AAE" w:rsidRDefault="00817C6D">
      <w:pPr>
        <w:pStyle w:val="EndnoteText"/>
        <w:rPr>
          <w:rFonts w:ascii="Calibri Light" w:hAnsi="Calibri Light" w:cs="Calibri Light"/>
          <w:color w:val="000000" w:themeColor="text1"/>
          <w:sz w:val="18"/>
          <w:szCs w:val="18"/>
          <w:lang w:val="en-US"/>
        </w:rPr>
      </w:pPr>
    </w:p>
  </w:endnote>
  <w:endnote w:id="3">
    <w:p w14:paraId="56F9961C" w14:textId="3B0332C2"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w:t>
      </w:r>
      <w:r w:rsidRPr="00D32AAE">
        <w:rPr>
          <w:rFonts w:ascii="Calibri Light" w:hAnsi="Calibri Light" w:cs="Calibri Light"/>
          <w:color w:val="000000" w:themeColor="text1"/>
          <w:sz w:val="18"/>
          <w:szCs w:val="18"/>
          <w:lang w:val="en-US" w:eastAsia="en-US"/>
        </w:rPr>
        <w:t xml:space="preserve">Emanuel, Ezekiel J., and Franklin G. Miller. “Money and Distorted Ethical Judgments about Research: Ethical Assessment of the </w:t>
      </w:r>
      <w:proofErr w:type="spellStart"/>
      <w:r w:rsidRPr="00D32AAE">
        <w:rPr>
          <w:rFonts w:ascii="Calibri Light" w:hAnsi="Calibri Light" w:cs="Calibri Light"/>
          <w:color w:val="000000" w:themeColor="text1"/>
          <w:sz w:val="18"/>
          <w:szCs w:val="18"/>
          <w:lang w:val="en-US" w:eastAsia="en-US"/>
        </w:rPr>
        <w:t>TeGenero</w:t>
      </w:r>
      <w:proofErr w:type="spellEnd"/>
      <w:r w:rsidRPr="00D32AAE">
        <w:rPr>
          <w:rFonts w:ascii="Calibri Light" w:hAnsi="Calibri Light" w:cs="Calibri Light"/>
          <w:color w:val="000000" w:themeColor="text1"/>
          <w:sz w:val="18"/>
          <w:szCs w:val="18"/>
          <w:lang w:val="en-US" w:eastAsia="en-US"/>
        </w:rPr>
        <w:t xml:space="preserve"> TGN1412 Trial.” The American Journal of Bioethics 7</w:t>
      </w:r>
      <w:r w:rsidR="003D5BA0" w:rsidRPr="00D32AAE">
        <w:rPr>
          <w:rFonts w:ascii="Calibri Light" w:hAnsi="Calibri Light" w:cs="Calibri Light"/>
          <w:color w:val="000000" w:themeColor="text1"/>
          <w:sz w:val="18"/>
          <w:szCs w:val="18"/>
          <w:lang w:val="en-US" w:eastAsia="en-US"/>
        </w:rPr>
        <w:t>,</w:t>
      </w:r>
      <w:r w:rsidRPr="00D32AAE">
        <w:rPr>
          <w:rFonts w:ascii="Calibri Light" w:hAnsi="Calibri Light" w:cs="Calibri Light"/>
          <w:color w:val="000000" w:themeColor="text1"/>
          <w:sz w:val="18"/>
          <w:szCs w:val="18"/>
          <w:lang w:val="en-US" w:eastAsia="en-US"/>
        </w:rPr>
        <w:t xml:space="preserve"> no. 2 (March 2007): 76–81. </w:t>
      </w:r>
      <w:hyperlink r:id="rId3" w:history="1">
        <w:r w:rsidRPr="00D32AAE">
          <w:rPr>
            <w:rFonts w:ascii="Calibri Light" w:hAnsi="Calibri Light" w:cs="Calibri Light"/>
            <w:color w:val="000000" w:themeColor="text1"/>
            <w:sz w:val="18"/>
            <w:szCs w:val="18"/>
            <w:lang w:val="en-US" w:eastAsia="en-US"/>
          </w:rPr>
          <w:t>https://doi.org/10.1080/15265160601111800</w:t>
        </w:r>
      </w:hyperlink>
      <w:r w:rsidRPr="00D32AAE">
        <w:rPr>
          <w:rFonts w:ascii="Calibri Light" w:hAnsi="Calibri Light" w:cs="Calibri Light"/>
          <w:color w:val="000000" w:themeColor="text1"/>
          <w:sz w:val="18"/>
          <w:szCs w:val="18"/>
          <w:lang w:val="en-US" w:eastAsia="en-US"/>
        </w:rPr>
        <w:t>.</w:t>
      </w:r>
    </w:p>
    <w:p w14:paraId="7CA2D15E" w14:textId="40008837" w:rsidR="00817C6D" w:rsidRPr="00D32AAE" w:rsidRDefault="00817C6D">
      <w:pPr>
        <w:pStyle w:val="EndnoteText"/>
        <w:rPr>
          <w:rFonts w:ascii="Calibri Light" w:hAnsi="Calibri Light" w:cs="Calibri Light"/>
          <w:color w:val="000000" w:themeColor="text1"/>
          <w:sz w:val="18"/>
          <w:szCs w:val="18"/>
          <w:lang w:val="en-US"/>
        </w:rPr>
      </w:pPr>
    </w:p>
  </w:endnote>
  <w:endnote w:id="4">
    <w:p w14:paraId="4FE0A805" w14:textId="63B96BD3"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Firmin, Michael W, Kristin DeWitt, Heidi Gibbs Ellis, Lauren A Smith, and Nicole M </w:t>
      </w:r>
      <w:proofErr w:type="spellStart"/>
      <w:r w:rsidRPr="00D32AAE">
        <w:rPr>
          <w:rFonts w:ascii="Calibri Light" w:hAnsi="Calibri Light" w:cs="Calibri Light"/>
          <w:color w:val="000000" w:themeColor="text1"/>
          <w:sz w:val="18"/>
          <w:szCs w:val="18"/>
        </w:rPr>
        <w:t>Tiffan</w:t>
      </w:r>
      <w:proofErr w:type="spellEnd"/>
      <w:r w:rsidRPr="00D32AAE">
        <w:rPr>
          <w:rFonts w:ascii="Calibri Light" w:hAnsi="Calibri Light" w:cs="Calibri Light"/>
          <w:color w:val="000000" w:themeColor="text1"/>
          <w:sz w:val="18"/>
          <w:szCs w:val="18"/>
        </w:rPr>
        <w:t>. “A Qualitative Study of the Motivations and Affiliation Dynamics Involved with a Firefighting Career</w:t>
      </w:r>
      <w:r w:rsidR="003D5BA0" w:rsidRPr="00D32AAE">
        <w:rPr>
          <w:rFonts w:ascii="Calibri Light" w:hAnsi="Calibri Light" w:cs="Calibri Light"/>
          <w:color w:val="000000" w:themeColor="text1"/>
          <w:sz w:val="18"/>
          <w:szCs w:val="18"/>
        </w:rPr>
        <w:t>.</w:t>
      </w:r>
      <w:r w:rsidRPr="00D32AAE">
        <w:rPr>
          <w:rFonts w:ascii="Calibri Light" w:hAnsi="Calibri Light" w:cs="Calibri Light"/>
          <w:color w:val="000000" w:themeColor="text1"/>
          <w:sz w:val="18"/>
          <w:szCs w:val="18"/>
        </w:rPr>
        <w:t>”</w:t>
      </w:r>
      <w:r w:rsidR="003D5BA0" w:rsidRPr="00D32AAE">
        <w:rPr>
          <w:rFonts w:ascii="Calibri Light" w:hAnsi="Calibri Light" w:cs="Calibri Light"/>
          <w:color w:val="000000" w:themeColor="text1"/>
          <w:sz w:val="18"/>
          <w:szCs w:val="18"/>
        </w:rPr>
        <w:t xml:space="preserve"> American Journal of Qualitative Research 2, no. 2 (2018):60-74</w:t>
      </w:r>
      <w:r w:rsidRPr="00D32AAE">
        <w:rPr>
          <w:rFonts w:ascii="Calibri Light" w:hAnsi="Calibri Light" w:cs="Calibri Light"/>
          <w:color w:val="000000" w:themeColor="text1"/>
          <w:sz w:val="18"/>
          <w:szCs w:val="18"/>
        </w:rPr>
        <w:t>.</w:t>
      </w:r>
    </w:p>
    <w:p w14:paraId="14924D48" w14:textId="789A9A4F" w:rsidR="00817C6D" w:rsidRPr="00D32AAE" w:rsidRDefault="00817C6D">
      <w:pPr>
        <w:pStyle w:val="EndnoteText"/>
        <w:rPr>
          <w:rFonts w:ascii="Calibri Light" w:hAnsi="Calibri Light" w:cs="Calibri Light"/>
          <w:color w:val="000000" w:themeColor="text1"/>
          <w:sz w:val="18"/>
          <w:szCs w:val="18"/>
          <w:lang w:val="en-US"/>
        </w:rPr>
      </w:pPr>
    </w:p>
  </w:endnote>
  <w:endnote w:id="5">
    <w:p w14:paraId="78413E6B" w14:textId="77777777" w:rsidR="00817C6D" w:rsidRPr="00D32AAE" w:rsidRDefault="00817C6D" w:rsidP="00A4787B">
      <w:pPr>
        <w:rPr>
          <w:rFonts w:ascii="Calibri Light" w:hAnsi="Calibri Light" w:cs="Calibri Light"/>
          <w:color w:val="000000" w:themeColor="text1"/>
          <w:sz w:val="18"/>
          <w:szCs w:val="18"/>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Ferguson, Pamela R. “Clinical Trials and Healthy Volunteers.” Medical Law Review 16, no. 1 (March 1, 2008): 23–51. </w:t>
      </w:r>
      <w:hyperlink r:id="rId4" w:history="1">
        <w:r w:rsidRPr="00D32AAE">
          <w:rPr>
            <w:rStyle w:val="Hyperlink"/>
            <w:rFonts w:ascii="Calibri Light" w:hAnsi="Calibri Light" w:cs="Calibri Light"/>
            <w:color w:val="000000" w:themeColor="text1"/>
            <w:sz w:val="18"/>
            <w:szCs w:val="18"/>
            <w:u w:val="none"/>
          </w:rPr>
          <w:t>https://doi.org/10.1093/medlaw/fwm020</w:t>
        </w:r>
      </w:hyperlink>
      <w:r w:rsidRPr="00D32AAE">
        <w:rPr>
          <w:rFonts w:ascii="Calibri Light" w:hAnsi="Calibri Light" w:cs="Calibri Light"/>
          <w:color w:val="000000" w:themeColor="text1"/>
          <w:sz w:val="18"/>
          <w:szCs w:val="18"/>
        </w:rPr>
        <w:t>.</w:t>
      </w:r>
    </w:p>
    <w:p w14:paraId="186A529D" w14:textId="7A047991" w:rsidR="00817C6D" w:rsidRPr="00D32AAE" w:rsidRDefault="00817C6D">
      <w:pPr>
        <w:pStyle w:val="EndnoteText"/>
        <w:rPr>
          <w:rFonts w:ascii="Calibri Light" w:hAnsi="Calibri Light" w:cs="Calibri Light"/>
          <w:color w:val="000000" w:themeColor="text1"/>
          <w:sz w:val="18"/>
          <w:szCs w:val="18"/>
          <w:lang w:val="en-US"/>
        </w:rPr>
      </w:pPr>
    </w:p>
  </w:endnote>
  <w:endnote w:id="6">
    <w:p w14:paraId="2CBE6615" w14:textId="77777777"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w:t>
      </w:r>
      <w:proofErr w:type="spellStart"/>
      <w:r w:rsidRPr="00D32AAE">
        <w:rPr>
          <w:rFonts w:ascii="Calibri Light" w:hAnsi="Calibri Light" w:cs="Calibri Light"/>
          <w:color w:val="000000" w:themeColor="text1"/>
          <w:sz w:val="18"/>
          <w:szCs w:val="18"/>
        </w:rPr>
        <w:t>Stunkel</w:t>
      </w:r>
      <w:proofErr w:type="spellEnd"/>
      <w:r w:rsidRPr="00D32AAE">
        <w:rPr>
          <w:rFonts w:ascii="Calibri Light" w:hAnsi="Calibri Light" w:cs="Calibri Light"/>
          <w:color w:val="000000" w:themeColor="text1"/>
          <w:sz w:val="18"/>
          <w:szCs w:val="18"/>
        </w:rPr>
        <w:t xml:space="preserve">, Leanne, and Christine Grady. “More than the Money: A Review of the Literature Examining Healthy Volunteer Motivations.” Contemporary Clinical Trials 32, no. 3 (May 1, 2011): 342–52. </w:t>
      </w:r>
      <w:hyperlink r:id="rId5" w:history="1">
        <w:r w:rsidRPr="00D32AAE">
          <w:rPr>
            <w:rStyle w:val="Hyperlink"/>
            <w:rFonts w:ascii="Calibri Light" w:hAnsi="Calibri Light" w:cs="Calibri Light"/>
            <w:color w:val="000000" w:themeColor="text1"/>
            <w:sz w:val="18"/>
            <w:szCs w:val="18"/>
            <w:u w:val="none"/>
          </w:rPr>
          <w:t>https://doi.org/10.1016/j.cct.2010.12.003</w:t>
        </w:r>
      </w:hyperlink>
      <w:r w:rsidRPr="00D32AAE">
        <w:rPr>
          <w:rFonts w:ascii="Calibri Light" w:hAnsi="Calibri Light" w:cs="Calibri Light"/>
          <w:color w:val="000000" w:themeColor="text1"/>
          <w:sz w:val="18"/>
          <w:szCs w:val="18"/>
        </w:rPr>
        <w:t>.</w:t>
      </w:r>
    </w:p>
    <w:p w14:paraId="145C67E8" w14:textId="1F5EEBAD" w:rsidR="00817C6D" w:rsidRPr="00D32AAE" w:rsidRDefault="00817C6D">
      <w:pPr>
        <w:pStyle w:val="EndnoteText"/>
        <w:rPr>
          <w:rFonts w:ascii="Calibri Light" w:hAnsi="Calibri Light" w:cs="Calibri Light"/>
          <w:color w:val="000000" w:themeColor="text1"/>
          <w:sz w:val="18"/>
          <w:szCs w:val="18"/>
          <w:lang w:val="en-US"/>
        </w:rPr>
      </w:pPr>
    </w:p>
  </w:endnote>
  <w:endnote w:id="7">
    <w:p w14:paraId="36B9B44A" w14:textId="47921BFD"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w:t>
      </w:r>
      <w:r w:rsidR="003D5BA0" w:rsidRPr="00D32AAE">
        <w:rPr>
          <w:rFonts w:ascii="Calibri Light" w:hAnsi="Calibri Light" w:cs="Calibri Light"/>
          <w:color w:val="000000" w:themeColor="text1"/>
          <w:sz w:val="18"/>
          <w:szCs w:val="18"/>
        </w:rPr>
        <w:t xml:space="preserve">Occupational Safety and Health Administrator. </w:t>
      </w:r>
      <w:r w:rsidRPr="00D32AAE">
        <w:rPr>
          <w:rFonts w:ascii="Calibri Light" w:hAnsi="Calibri Light" w:cs="Calibri Light"/>
          <w:color w:val="000000" w:themeColor="text1"/>
          <w:sz w:val="18"/>
          <w:szCs w:val="18"/>
        </w:rPr>
        <w:t>“Fire Service Features of Buildings and Fire Protection Systems</w:t>
      </w:r>
      <w:r w:rsidR="003D5BA0" w:rsidRPr="00D32AAE">
        <w:rPr>
          <w:rFonts w:ascii="Calibri Light" w:hAnsi="Calibri Light" w:cs="Calibri Light"/>
          <w:color w:val="000000" w:themeColor="text1"/>
          <w:sz w:val="18"/>
          <w:szCs w:val="18"/>
        </w:rPr>
        <w:t>.</w:t>
      </w:r>
      <w:r w:rsidRPr="00D32AAE">
        <w:rPr>
          <w:rFonts w:ascii="Calibri Light" w:hAnsi="Calibri Light" w:cs="Calibri Light"/>
          <w:color w:val="000000" w:themeColor="text1"/>
          <w:sz w:val="18"/>
          <w:szCs w:val="18"/>
        </w:rPr>
        <w:t xml:space="preserve">” </w:t>
      </w:r>
      <w:r w:rsidR="003D5BA0" w:rsidRPr="00D32AAE">
        <w:rPr>
          <w:rFonts w:ascii="Calibri Light" w:hAnsi="Calibri Light" w:cs="Calibri Light"/>
          <w:color w:val="000000" w:themeColor="text1"/>
          <w:sz w:val="18"/>
          <w:szCs w:val="18"/>
        </w:rPr>
        <w:t>(2015)</w:t>
      </w:r>
      <w:r w:rsidRPr="00D32AAE">
        <w:rPr>
          <w:rFonts w:ascii="Calibri Light" w:hAnsi="Calibri Light" w:cs="Calibri Light"/>
          <w:color w:val="000000" w:themeColor="text1"/>
          <w:sz w:val="18"/>
          <w:szCs w:val="18"/>
        </w:rPr>
        <w:t>.</w:t>
      </w:r>
      <w:r w:rsidR="003D5BA0" w:rsidRPr="00D32AAE">
        <w:rPr>
          <w:rFonts w:ascii="Calibri Light" w:hAnsi="Calibri Light" w:cs="Calibri Light"/>
          <w:color w:val="000000" w:themeColor="text1"/>
          <w:sz w:val="18"/>
          <w:szCs w:val="18"/>
        </w:rPr>
        <w:t xml:space="preserve"> https://www.osha.gov/Publications/OSHA3256.pdf.</w:t>
      </w:r>
    </w:p>
    <w:p w14:paraId="19EBCC93" w14:textId="0D464CB5" w:rsidR="00817C6D" w:rsidRPr="00D32AAE" w:rsidRDefault="00817C6D">
      <w:pPr>
        <w:pStyle w:val="EndnoteText"/>
        <w:rPr>
          <w:rFonts w:ascii="Calibri Light" w:hAnsi="Calibri Light" w:cs="Calibri Light"/>
          <w:color w:val="000000" w:themeColor="text1"/>
          <w:sz w:val="18"/>
          <w:szCs w:val="18"/>
          <w:lang w:val="en-US"/>
        </w:rPr>
      </w:pPr>
    </w:p>
  </w:endnote>
  <w:endnote w:id="8">
    <w:p w14:paraId="0AFCF54F" w14:textId="7F53107A" w:rsidR="003D5BA0" w:rsidRPr="00D32AAE" w:rsidRDefault="00817C6D" w:rsidP="00D87288">
      <w:pPr>
        <w:rPr>
          <w:rFonts w:ascii="Calibri Light" w:hAnsi="Calibri Light" w:cs="Calibri Light"/>
          <w:color w:val="000000" w:themeColor="text1"/>
          <w:sz w:val="18"/>
          <w:szCs w:val="18"/>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w:t>
      </w:r>
      <w:r w:rsidRPr="00D32AAE">
        <w:rPr>
          <w:rFonts w:ascii="Calibri Light" w:hAnsi="Calibri Light" w:cs="Calibri Light"/>
          <w:color w:val="000000" w:themeColor="text1"/>
          <w:sz w:val="18"/>
          <w:szCs w:val="18"/>
          <w:shd w:val="clear" w:color="auto" w:fill="FFFFFF"/>
        </w:rPr>
        <w:t xml:space="preserve">Emanuel, Ezekiel, Emily </w:t>
      </w:r>
      <w:proofErr w:type="spellStart"/>
      <w:r w:rsidRPr="00D32AAE">
        <w:rPr>
          <w:rFonts w:ascii="Calibri Light" w:hAnsi="Calibri Light" w:cs="Calibri Light"/>
          <w:color w:val="000000" w:themeColor="text1"/>
          <w:sz w:val="18"/>
          <w:szCs w:val="18"/>
          <w:shd w:val="clear" w:color="auto" w:fill="FFFFFF"/>
        </w:rPr>
        <w:t>Abdoler</w:t>
      </w:r>
      <w:proofErr w:type="spellEnd"/>
      <w:r w:rsidRPr="00D32AAE">
        <w:rPr>
          <w:rFonts w:ascii="Calibri Light" w:hAnsi="Calibri Light" w:cs="Calibri Light"/>
          <w:color w:val="000000" w:themeColor="text1"/>
          <w:sz w:val="18"/>
          <w:szCs w:val="18"/>
          <w:shd w:val="clear" w:color="auto" w:fill="FFFFFF"/>
        </w:rPr>
        <w:t xml:space="preserve">, and Leanne </w:t>
      </w:r>
      <w:proofErr w:type="spellStart"/>
      <w:r w:rsidRPr="00D32AAE">
        <w:rPr>
          <w:rFonts w:ascii="Calibri Light" w:hAnsi="Calibri Light" w:cs="Calibri Light"/>
          <w:color w:val="000000" w:themeColor="text1"/>
          <w:sz w:val="18"/>
          <w:szCs w:val="18"/>
          <w:shd w:val="clear" w:color="auto" w:fill="FFFFFF"/>
        </w:rPr>
        <w:t>Stunkel</w:t>
      </w:r>
      <w:proofErr w:type="spellEnd"/>
      <w:r w:rsidRPr="00D32AAE">
        <w:rPr>
          <w:rFonts w:ascii="Calibri Light" w:hAnsi="Calibri Light" w:cs="Calibri Light"/>
          <w:color w:val="000000" w:themeColor="text1"/>
          <w:sz w:val="18"/>
          <w:szCs w:val="18"/>
          <w:shd w:val="clear" w:color="auto" w:fill="FFFFFF"/>
        </w:rPr>
        <w:t xml:space="preserve">. "Research Ethics: How To Treat People Who Participate In Research". Bethesda, MD: National Institutes of Health Clinical </w:t>
      </w:r>
      <w:proofErr w:type="spellStart"/>
      <w:r w:rsidRPr="00D32AAE">
        <w:rPr>
          <w:rFonts w:ascii="Calibri Light" w:hAnsi="Calibri Light" w:cs="Calibri Light"/>
          <w:color w:val="000000" w:themeColor="text1"/>
          <w:sz w:val="18"/>
          <w:szCs w:val="18"/>
          <w:shd w:val="clear" w:color="auto" w:fill="FFFFFF"/>
        </w:rPr>
        <w:t>Center</w:t>
      </w:r>
      <w:proofErr w:type="spellEnd"/>
      <w:r w:rsidRPr="00D32AAE">
        <w:rPr>
          <w:rFonts w:ascii="Calibri Light" w:hAnsi="Calibri Light" w:cs="Calibri Light"/>
          <w:color w:val="000000" w:themeColor="text1"/>
          <w:sz w:val="18"/>
          <w:szCs w:val="18"/>
          <w:shd w:val="clear" w:color="auto" w:fill="FFFFFF"/>
        </w:rPr>
        <w:t xml:space="preserve"> Department of Bioethics</w:t>
      </w:r>
      <w:r w:rsidR="003D5BA0" w:rsidRPr="00D32AAE">
        <w:rPr>
          <w:rFonts w:ascii="Calibri Light" w:hAnsi="Calibri Light" w:cs="Calibri Light"/>
          <w:color w:val="000000" w:themeColor="text1"/>
          <w:sz w:val="18"/>
          <w:szCs w:val="18"/>
          <w:shd w:val="clear" w:color="auto" w:fill="FFFFFF"/>
        </w:rPr>
        <w:t xml:space="preserve"> (2016)</w:t>
      </w:r>
      <w:r w:rsidRPr="00D32AAE">
        <w:rPr>
          <w:rFonts w:ascii="Calibri Light" w:hAnsi="Calibri Light" w:cs="Calibri Light"/>
          <w:color w:val="000000" w:themeColor="text1"/>
          <w:sz w:val="18"/>
          <w:szCs w:val="18"/>
          <w:shd w:val="clear" w:color="auto" w:fill="FFFFFF"/>
        </w:rPr>
        <w:t>.</w:t>
      </w:r>
      <w:r w:rsidR="003D5BA0" w:rsidRPr="00D32AAE">
        <w:rPr>
          <w:rFonts w:ascii="Calibri Light" w:hAnsi="Calibri Light" w:cs="Calibri Light"/>
          <w:color w:val="000000" w:themeColor="text1"/>
          <w:sz w:val="18"/>
          <w:szCs w:val="18"/>
        </w:rPr>
        <w:t xml:space="preserve"> https://doi.org/</w:t>
      </w:r>
      <w:hyperlink r:id="rId6" w:history="1">
        <w:r w:rsidR="003D5BA0" w:rsidRPr="00D32AAE">
          <w:rPr>
            <w:rFonts w:ascii="Calibri Light" w:hAnsi="Calibri Light" w:cs="Calibri Light"/>
            <w:color w:val="000000" w:themeColor="text1"/>
            <w:sz w:val="18"/>
            <w:szCs w:val="18"/>
          </w:rPr>
          <w:t>10.1037/14805-031</w:t>
        </w:r>
      </w:hyperlink>
      <w:r w:rsidR="003D5BA0" w:rsidRPr="00D32AAE">
        <w:rPr>
          <w:rFonts w:ascii="Calibri Light" w:hAnsi="Calibri Light" w:cs="Calibri Light"/>
          <w:color w:val="000000" w:themeColor="text1"/>
          <w:sz w:val="18"/>
          <w:szCs w:val="18"/>
        </w:rPr>
        <w:t>.</w:t>
      </w:r>
    </w:p>
    <w:p w14:paraId="4167FA27" w14:textId="255B9D29" w:rsidR="00817C6D" w:rsidRPr="00D32AAE" w:rsidRDefault="00817C6D" w:rsidP="00A4787B">
      <w:pPr>
        <w:rPr>
          <w:rFonts w:ascii="Calibri Light" w:hAnsi="Calibri Light" w:cs="Calibri Light"/>
          <w:color w:val="000000" w:themeColor="text1"/>
          <w:sz w:val="18"/>
          <w:szCs w:val="18"/>
          <w:lang w:val="en-US"/>
        </w:rPr>
      </w:pPr>
    </w:p>
    <w:p w14:paraId="00A5C4FE" w14:textId="4CF48A86" w:rsidR="00817C6D" w:rsidRPr="00D32AAE" w:rsidRDefault="00817C6D">
      <w:pPr>
        <w:pStyle w:val="EndnoteText"/>
        <w:rPr>
          <w:rFonts w:ascii="Calibri Light" w:hAnsi="Calibri Light" w:cs="Calibri Light"/>
          <w:color w:val="000000" w:themeColor="text1"/>
          <w:sz w:val="18"/>
          <w:szCs w:val="18"/>
          <w:lang w:val="en-US"/>
        </w:rPr>
      </w:pPr>
    </w:p>
  </w:endnote>
  <w:endnote w:id="9">
    <w:p w14:paraId="4175CAC2" w14:textId="77777777"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Elliott, Carl, and Roberto Abadie. “Exploiting a Research Underclass in Phase 1 Clinical Trials.” New England Journal of Medicine 358, no. 22 (May 29, 2008): 2316–17. </w:t>
      </w:r>
      <w:hyperlink r:id="rId7" w:history="1">
        <w:r w:rsidRPr="00D32AAE">
          <w:rPr>
            <w:rStyle w:val="Hyperlink"/>
            <w:rFonts w:ascii="Calibri Light" w:hAnsi="Calibri Light" w:cs="Calibri Light"/>
            <w:color w:val="000000" w:themeColor="text1"/>
            <w:sz w:val="18"/>
            <w:szCs w:val="18"/>
            <w:u w:val="none"/>
          </w:rPr>
          <w:t>https://doi.org/10.1056/NEJMp0801872</w:t>
        </w:r>
      </w:hyperlink>
      <w:r w:rsidRPr="00D32AAE">
        <w:rPr>
          <w:rFonts w:ascii="Calibri Light" w:hAnsi="Calibri Light" w:cs="Calibri Light"/>
          <w:color w:val="000000" w:themeColor="text1"/>
          <w:sz w:val="18"/>
          <w:szCs w:val="18"/>
        </w:rPr>
        <w:t>.</w:t>
      </w:r>
    </w:p>
    <w:p w14:paraId="49E85AC9" w14:textId="5EF050F0" w:rsidR="00817C6D" w:rsidRPr="00D32AAE" w:rsidRDefault="00817C6D">
      <w:pPr>
        <w:pStyle w:val="EndnoteText"/>
        <w:rPr>
          <w:rFonts w:ascii="Calibri Light" w:hAnsi="Calibri Light" w:cs="Calibri Light"/>
          <w:color w:val="000000" w:themeColor="text1"/>
          <w:sz w:val="18"/>
          <w:szCs w:val="18"/>
          <w:lang w:val="en-US"/>
        </w:rPr>
      </w:pPr>
    </w:p>
  </w:endnote>
  <w:endnote w:id="10">
    <w:p w14:paraId="0B27DE12" w14:textId="77777777"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w:t>
      </w:r>
      <w:r w:rsidRPr="00D32AAE">
        <w:rPr>
          <w:rFonts w:ascii="Calibri Light" w:hAnsi="Calibri Light" w:cs="Calibri Light"/>
          <w:color w:val="000000" w:themeColor="text1"/>
          <w:sz w:val="18"/>
          <w:szCs w:val="18"/>
          <w:lang w:val="en-US" w:eastAsia="en-US"/>
        </w:rPr>
        <w:t xml:space="preserve">Institute of Medicine (US) Committee on Ethical and Legal Issues Relating to the Inclusion of Women in Clinical Studies, Anna C. Mastroianni, Ruth </w:t>
      </w:r>
      <w:proofErr w:type="spellStart"/>
      <w:r w:rsidRPr="00D32AAE">
        <w:rPr>
          <w:rFonts w:ascii="Calibri Light" w:hAnsi="Calibri Light" w:cs="Calibri Light"/>
          <w:color w:val="000000" w:themeColor="text1"/>
          <w:sz w:val="18"/>
          <w:szCs w:val="18"/>
          <w:lang w:val="en-US" w:eastAsia="en-US"/>
        </w:rPr>
        <w:t>Faden</w:t>
      </w:r>
      <w:proofErr w:type="spellEnd"/>
      <w:r w:rsidRPr="00D32AAE">
        <w:rPr>
          <w:rFonts w:ascii="Calibri Light" w:hAnsi="Calibri Light" w:cs="Calibri Light"/>
          <w:color w:val="000000" w:themeColor="text1"/>
          <w:sz w:val="18"/>
          <w:szCs w:val="18"/>
          <w:lang w:val="en-US" w:eastAsia="en-US"/>
        </w:rPr>
        <w:t xml:space="preserve">, and Daniel </w:t>
      </w:r>
      <w:proofErr w:type="spellStart"/>
      <w:r w:rsidRPr="00D32AAE">
        <w:rPr>
          <w:rFonts w:ascii="Calibri Light" w:hAnsi="Calibri Light" w:cs="Calibri Light"/>
          <w:color w:val="000000" w:themeColor="text1"/>
          <w:sz w:val="18"/>
          <w:szCs w:val="18"/>
          <w:lang w:val="en-US" w:eastAsia="en-US"/>
        </w:rPr>
        <w:t>Federman</w:t>
      </w:r>
      <w:proofErr w:type="spellEnd"/>
      <w:r w:rsidRPr="00D32AAE">
        <w:rPr>
          <w:rFonts w:ascii="Calibri Light" w:hAnsi="Calibri Light" w:cs="Calibri Light"/>
          <w:color w:val="000000" w:themeColor="text1"/>
          <w:sz w:val="18"/>
          <w:szCs w:val="18"/>
          <w:lang w:val="en-US" w:eastAsia="en-US"/>
        </w:rPr>
        <w:t xml:space="preserve">. Justice in Clinical Studies: Guiding Principles. Women and Health Research: Ethical and Legal Issues of Including Women in Clinical Studies: Volume I. National Academies Press (US), 1994. </w:t>
      </w:r>
      <w:hyperlink r:id="rId8" w:history="1">
        <w:r w:rsidRPr="00D32AAE">
          <w:rPr>
            <w:rFonts w:ascii="Calibri Light" w:hAnsi="Calibri Light" w:cs="Calibri Light"/>
            <w:color w:val="000000" w:themeColor="text1"/>
            <w:sz w:val="18"/>
            <w:szCs w:val="18"/>
            <w:lang w:val="en-US" w:eastAsia="en-US"/>
          </w:rPr>
          <w:t>https://www.ncbi.nlm.nih.gov/books/NBK236544/</w:t>
        </w:r>
      </w:hyperlink>
      <w:r w:rsidRPr="00D32AAE">
        <w:rPr>
          <w:rFonts w:ascii="Calibri Light" w:hAnsi="Calibri Light" w:cs="Calibri Light"/>
          <w:color w:val="000000" w:themeColor="text1"/>
          <w:sz w:val="18"/>
          <w:szCs w:val="18"/>
          <w:lang w:val="en-US" w:eastAsia="en-US"/>
        </w:rPr>
        <w:t>.</w:t>
      </w:r>
    </w:p>
    <w:p w14:paraId="00646925" w14:textId="137F1A1B" w:rsidR="00817C6D" w:rsidRPr="00D32AAE" w:rsidRDefault="00817C6D">
      <w:pPr>
        <w:pStyle w:val="EndnoteText"/>
        <w:rPr>
          <w:rFonts w:ascii="Calibri Light" w:hAnsi="Calibri Light" w:cs="Calibri Light"/>
          <w:color w:val="000000" w:themeColor="text1"/>
          <w:sz w:val="18"/>
          <w:szCs w:val="18"/>
          <w:lang w:val="en-US"/>
        </w:rPr>
      </w:pPr>
    </w:p>
  </w:endnote>
  <w:endnote w:id="11">
    <w:p w14:paraId="5D587110" w14:textId="1D1FB77F"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Elliott, </w:t>
      </w:r>
      <w:r w:rsidR="003525F4" w:rsidRPr="00D32AAE">
        <w:rPr>
          <w:rFonts w:ascii="Calibri Light" w:hAnsi="Calibri Light" w:cs="Calibri Light"/>
          <w:color w:val="000000" w:themeColor="text1"/>
          <w:sz w:val="18"/>
          <w:szCs w:val="18"/>
        </w:rPr>
        <w:t xml:space="preserve">pages </w:t>
      </w:r>
      <w:r w:rsidRPr="00D32AAE">
        <w:rPr>
          <w:rFonts w:ascii="Calibri Light" w:hAnsi="Calibri Light" w:cs="Calibri Light"/>
          <w:color w:val="000000" w:themeColor="text1"/>
          <w:sz w:val="18"/>
          <w:szCs w:val="18"/>
        </w:rPr>
        <w:t xml:space="preserve">2316–17. </w:t>
      </w:r>
    </w:p>
    <w:p w14:paraId="28AA28AF" w14:textId="24F65712" w:rsidR="00817C6D" w:rsidRPr="00D32AAE" w:rsidRDefault="00817C6D">
      <w:pPr>
        <w:pStyle w:val="EndnoteText"/>
        <w:rPr>
          <w:rFonts w:ascii="Calibri Light" w:hAnsi="Calibri Light" w:cs="Calibri Light"/>
          <w:color w:val="000000" w:themeColor="text1"/>
          <w:sz w:val="18"/>
          <w:szCs w:val="18"/>
          <w:lang w:val="en-US"/>
        </w:rPr>
      </w:pPr>
    </w:p>
  </w:endnote>
  <w:endnote w:id="12">
    <w:p w14:paraId="236C220A" w14:textId="77777777"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w:t>
      </w:r>
      <w:proofErr w:type="spellStart"/>
      <w:r w:rsidRPr="00D32AAE">
        <w:rPr>
          <w:rFonts w:ascii="Calibri Light" w:hAnsi="Calibri Light" w:cs="Calibri Light"/>
          <w:color w:val="000000" w:themeColor="text1"/>
          <w:sz w:val="18"/>
          <w:szCs w:val="18"/>
        </w:rPr>
        <w:t>Grieselhuber</w:t>
      </w:r>
      <w:proofErr w:type="spellEnd"/>
      <w:r w:rsidRPr="00D32AAE">
        <w:rPr>
          <w:rFonts w:ascii="Calibri Light" w:hAnsi="Calibri Light" w:cs="Calibri Light"/>
          <w:color w:val="000000" w:themeColor="text1"/>
          <w:sz w:val="18"/>
          <w:szCs w:val="18"/>
        </w:rPr>
        <w:t xml:space="preserve">, Nicole R., Ira J. </w:t>
      </w:r>
      <w:proofErr w:type="spellStart"/>
      <w:r w:rsidRPr="00D32AAE">
        <w:rPr>
          <w:rFonts w:ascii="Calibri Light" w:hAnsi="Calibri Light" w:cs="Calibri Light"/>
          <w:color w:val="000000" w:themeColor="text1"/>
          <w:sz w:val="18"/>
          <w:szCs w:val="18"/>
        </w:rPr>
        <w:t>Kodner</w:t>
      </w:r>
      <w:proofErr w:type="spellEnd"/>
      <w:r w:rsidRPr="00D32AAE">
        <w:rPr>
          <w:rFonts w:ascii="Calibri Light" w:hAnsi="Calibri Light" w:cs="Calibri Light"/>
          <w:color w:val="000000" w:themeColor="text1"/>
          <w:sz w:val="18"/>
          <w:szCs w:val="18"/>
        </w:rPr>
        <w:t xml:space="preserve">, Douglas Brown, and Jennifer Yu. “Confronting the Therapeutic Misconception.” Surgery 162, no. 1 (July 2017): 183–87. </w:t>
      </w:r>
      <w:hyperlink r:id="rId9" w:history="1">
        <w:r w:rsidRPr="00D32AAE">
          <w:rPr>
            <w:rStyle w:val="Hyperlink"/>
            <w:rFonts w:ascii="Calibri Light" w:hAnsi="Calibri Light" w:cs="Calibri Light"/>
            <w:color w:val="000000" w:themeColor="text1"/>
            <w:sz w:val="18"/>
            <w:szCs w:val="18"/>
            <w:u w:val="none"/>
          </w:rPr>
          <w:t>https://doi.org/10.1016/j.surg.2017.01.031</w:t>
        </w:r>
      </w:hyperlink>
      <w:r w:rsidRPr="00D32AAE">
        <w:rPr>
          <w:rFonts w:ascii="Calibri Light" w:hAnsi="Calibri Light" w:cs="Calibri Light"/>
          <w:color w:val="000000" w:themeColor="text1"/>
          <w:sz w:val="18"/>
          <w:szCs w:val="18"/>
        </w:rPr>
        <w:t>.</w:t>
      </w:r>
    </w:p>
    <w:p w14:paraId="5F66C63E" w14:textId="06629FD8" w:rsidR="00817C6D" w:rsidRPr="00D32AAE" w:rsidRDefault="00817C6D">
      <w:pPr>
        <w:pStyle w:val="EndnoteText"/>
        <w:rPr>
          <w:rFonts w:ascii="Calibri Light" w:hAnsi="Calibri Light" w:cs="Calibri Light"/>
          <w:color w:val="000000" w:themeColor="text1"/>
          <w:sz w:val="18"/>
          <w:szCs w:val="18"/>
          <w:lang w:val="en-US"/>
        </w:rPr>
      </w:pPr>
    </w:p>
  </w:endnote>
  <w:endnote w:id="13">
    <w:p w14:paraId="41C79532" w14:textId="6C638144"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Elliott, </w:t>
      </w:r>
      <w:r w:rsidR="003525F4" w:rsidRPr="00D32AAE">
        <w:rPr>
          <w:rFonts w:ascii="Calibri Light" w:hAnsi="Calibri Light" w:cs="Calibri Light"/>
          <w:color w:val="000000" w:themeColor="text1"/>
          <w:sz w:val="18"/>
          <w:szCs w:val="18"/>
        </w:rPr>
        <w:t>pages</w:t>
      </w:r>
      <w:r w:rsidRPr="00D32AAE">
        <w:rPr>
          <w:rFonts w:ascii="Calibri Light" w:hAnsi="Calibri Light" w:cs="Calibri Light"/>
          <w:color w:val="000000" w:themeColor="text1"/>
          <w:sz w:val="18"/>
          <w:szCs w:val="18"/>
        </w:rPr>
        <w:t xml:space="preserve"> 2316–17. </w:t>
      </w:r>
    </w:p>
    <w:p w14:paraId="670D3CB6" w14:textId="20B376E8" w:rsidR="00817C6D" w:rsidRPr="00D32AAE" w:rsidRDefault="00817C6D">
      <w:pPr>
        <w:pStyle w:val="EndnoteText"/>
        <w:rPr>
          <w:rFonts w:ascii="Calibri Light" w:hAnsi="Calibri Light" w:cs="Calibri Light"/>
          <w:color w:val="000000" w:themeColor="text1"/>
          <w:sz w:val="18"/>
          <w:szCs w:val="18"/>
          <w:lang w:val="en-US"/>
        </w:rPr>
      </w:pPr>
    </w:p>
  </w:endnote>
  <w:endnote w:id="14">
    <w:p w14:paraId="6CCAF6D8" w14:textId="3B24168F" w:rsidR="003D5BA0" w:rsidRPr="00D32AAE" w:rsidRDefault="00817C6D" w:rsidP="003D5BA0">
      <w:pPr>
        <w:rPr>
          <w:rFonts w:ascii="Calibri Light" w:hAnsi="Calibri Light" w:cs="Calibri Light"/>
          <w:color w:val="000000" w:themeColor="text1"/>
          <w:sz w:val="18"/>
          <w:szCs w:val="18"/>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w:t>
      </w:r>
      <w:r w:rsidR="003D5BA0" w:rsidRPr="00D32AAE">
        <w:rPr>
          <w:rFonts w:ascii="Calibri Light" w:hAnsi="Calibri Light" w:cs="Calibri Light"/>
          <w:color w:val="000000" w:themeColor="text1"/>
          <w:sz w:val="18"/>
          <w:szCs w:val="18"/>
        </w:rPr>
        <w:t>Kuhn, Kristine M.</w:t>
      </w:r>
      <w:r w:rsidRPr="00D32AAE">
        <w:rPr>
          <w:rFonts w:ascii="Calibri Light" w:hAnsi="Calibri Light" w:cs="Calibri Light"/>
          <w:color w:val="000000" w:themeColor="text1"/>
          <w:sz w:val="18"/>
          <w:szCs w:val="18"/>
          <w:lang w:val="en-US" w:eastAsia="en-US"/>
        </w:rPr>
        <w:t>“The Rise of the ‘Gig Economy’ and Implications for Understanding Work and Workers ”</w:t>
      </w:r>
      <w:r w:rsidR="003D5BA0" w:rsidRPr="00D32AAE">
        <w:rPr>
          <w:rFonts w:ascii="Calibri Light" w:hAnsi="Calibri Light" w:cs="Calibri Light"/>
          <w:color w:val="000000" w:themeColor="text1"/>
          <w:sz w:val="18"/>
          <w:szCs w:val="18"/>
          <w:lang w:val="en-US" w:eastAsia="en-US"/>
        </w:rPr>
        <w:t xml:space="preserve"> </w:t>
      </w:r>
      <w:r w:rsidR="003D5BA0" w:rsidRPr="00D32AAE">
        <w:rPr>
          <w:rFonts w:ascii="Calibri Light" w:hAnsi="Calibri Light" w:cs="Calibri Light"/>
          <w:color w:val="000000" w:themeColor="text1"/>
          <w:sz w:val="18"/>
          <w:szCs w:val="18"/>
        </w:rPr>
        <w:t>Industrial and Organizational Psychology; Bowling Green</w:t>
      </w:r>
      <w:r w:rsidR="003D5BA0" w:rsidRPr="00D32AAE">
        <w:rPr>
          <w:rFonts w:ascii="Calibri Light" w:hAnsi="Calibri Light" w:cs="Calibri Light"/>
          <w:color w:val="000000" w:themeColor="text1"/>
          <w:sz w:val="18"/>
          <w:szCs w:val="18"/>
          <w:shd w:val="clear" w:color="auto" w:fill="FFFFFF"/>
        </w:rPr>
        <w:t xml:space="preserve"> </w:t>
      </w:r>
      <w:r w:rsidR="003D5BA0" w:rsidRPr="00D32AAE">
        <w:rPr>
          <w:rFonts w:ascii="Calibri Light" w:hAnsi="Calibri Light" w:cs="Calibri Light"/>
          <w:color w:val="000000" w:themeColor="text1"/>
          <w:sz w:val="18"/>
          <w:szCs w:val="18"/>
        </w:rPr>
        <w:t>9, no.1 (March 2016):</w:t>
      </w:r>
      <w:r w:rsidRPr="00D32AAE">
        <w:rPr>
          <w:rFonts w:ascii="Calibri Light" w:hAnsi="Calibri Light" w:cs="Calibri Light"/>
          <w:color w:val="000000" w:themeColor="text1"/>
          <w:sz w:val="18"/>
          <w:szCs w:val="18"/>
          <w:lang w:val="en-US" w:eastAsia="en-US"/>
        </w:rPr>
        <w:t xml:space="preserve"> </w:t>
      </w:r>
      <w:r w:rsidR="003D5BA0" w:rsidRPr="00D32AAE">
        <w:rPr>
          <w:rFonts w:ascii="Calibri Light" w:hAnsi="Calibri Light" w:cs="Calibri Light"/>
          <w:color w:val="000000" w:themeColor="text1"/>
          <w:sz w:val="18"/>
          <w:szCs w:val="18"/>
          <w:lang w:val="en-US" w:eastAsia="en-US"/>
        </w:rPr>
        <w:t>157-162</w:t>
      </w:r>
      <w:r w:rsidRPr="00D32AAE">
        <w:rPr>
          <w:rFonts w:ascii="Calibri Light" w:hAnsi="Calibri Light" w:cs="Calibri Light"/>
          <w:color w:val="000000" w:themeColor="text1"/>
          <w:sz w:val="18"/>
          <w:szCs w:val="18"/>
          <w:lang w:val="en-US" w:eastAsia="en-US"/>
        </w:rPr>
        <w:t xml:space="preserve">. </w:t>
      </w:r>
      <w:r w:rsidR="003D5BA0" w:rsidRPr="00D32AAE">
        <w:rPr>
          <w:rFonts w:ascii="Calibri Light" w:hAnsi="Calibri Light" w:cs="Calibri Light"/>
          <w:color w:val="000000" w:themeColor="text1"/>
          <w:sz w:val="18"/>
          <w:szCs w:val="18"/>
          <w:lang w:val="en-US" w:eastAsia="en-US"/>
        </w:rPr>
        <w:t>https://doi.org/</w:t>
      </w:r>
      <w:r w:rsidR="003D5BA0" w:rsidRPr="00D32AAE">
        <w:rPr>
          <w:rFonts w:ascii="Calibri Light" w:hAnsi="Calibri Light" w:cs="Calibri Light"/>
          <w:color w:val="000000" w:themeColor="text1"/>
          <w:sz w:val="18"/>
          <w:szCs w:val="18"/>
          <w:shd w:val="clear" w:color="auto" w:fill="FFFFFF"/>
        </w:rPr>
        <w:t>10.1017/iop.2015.129.</w:t>
      </w:r>
    </w:p>
    <w:p w14:paraId="17CF13B8" w14:textId="624D8860" w:rsidR="00817C6D" w:rsidRPr="00D32AAE" w:rsidRDefault="00817C6D" w:rsidP="00D87288">
      <w:pPr>
        <w:rPr>
          <w:rFonts w:ascii="Calibri Light" w:hAnsi="Calibri Light" w:cs="Calibri Light"/>
          <w:color w:val="000000" w:themeColor="text1"/>
          <w:sz w:val="18"/>
          <w:szCs w:val="18"/>
          <w:lang w:val="en-US"/>
        </w:rPr>
      </w:pPr>
    </w:p>
  </w:endnote>
  <w:endnote w:id="15">
    <w:p w14:paraId="4D8E14FB" w14:textId="77777777"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Pandya, Mansi, and Chetna Desai. “Compensation in Clinical Research: The Debate Continues.” Perspectives in Clinical Research 4, no. 1 (2013): 70–74. </w:t>
      </w:r>
      <w:hyperlink r:id="rId10" w:history="1">
        <w:r w:rsidRPr="00D32AAE">
          <w:rPr>
            <w:rStyle w:val="Hyperlink"/>
            <w:rFonts w:ascii="Calibri Light" w:hAnsi="Calibri Light" w:cs="Calibri Light"/>
            <w:color w:val="000000" w:themeColor="text1"/>
            <w:sz w:val="18"/>
            <w:szCs w:val="18"/>
            <w:u w:val="none"/>
          </w:rPr>
          <w:t>https://doi.org/10.4103/2229-3485.106394</w:t>
        </w:r>
      </w:hyperlink>
      <w:r w:rsidRPr="00D32AAE">
        <w:rPr>
          <w:rFonts w:ascii="Calibri Light" w:hAnsi="Calibri Light" w:cs="Calibri Light"/>
          <w:color w:val="000000" w:themeColor="text1"/>
          <w:sz w:val="18"/>
          <w:szCs w:val="18"/>
        </w:rPr>
        <w:t>.</w:t>
      </w:r>
    </w:p>
    <w:p w14:paraId="6169B5EF" w14:textId="5EC7C7FC" w:rsidR="00817C6D" w:rsidRPr="00D32AAE" w:rsidRDefault="00817C6D">
      <w:pPr>
        <w:pStyle w:val="EndnoteText"/>
        <w:rPr>
          <w:rFonts w:ascii="Calibri Light" w:hAnsi="Calibri Light" w:cs="Calibri Light"/>
          <w:color w:val="000000" w:themeColor="text1"/>
          <w:sz w:val="18"/>
          <w:szCs w:val="18"/>
          <w:lang w:val="en-US"/>
        </w:rPr>
      </w:pPr>
    </w:p>
  </w:endnote>
  <w:endnote w:id="16">
    <w:p w14:paraId="76C12C21" w14:textId="474AB47B"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“Financial Compensation of Oocyte Donors: An Ethics Committee Opinion.” Fertility and Sterility 106, no. 7 (December 1, 2016): e15–19. </w:t>
      </w:r>
      <w:hyperlink r:id="rId11" w:history="1">
        <w:r w:rsidRPr="00D32AAE">
          <w:rPr>
            <w:rStyle w:val="Hyperlink"/>
            <w:rFonts w:ascii="Calibri Light" w:hAnsi="Calibri Light" w:cs="Calibri Light"/>
            <w:color w:val="000000" w:themeColor="text1"/>
            <w:sz w:val="18"/>
            <w:szCs w:val="18"/>
            <w:u w:val="none"/>
          </w:rPr>
          <w:t>https://doi.org/10.1016/j.fertnstert.2016.09.040</w:t>
        </w:r>
      </w:hyperlink>
      <w:r w:rsidRPr="00D32AAE">
        <w:rPr>
          <w:rFonts w:ascii="Calibri Light" w:hAnsi="Calibri Light" w:cs="Calibri Light"/>
          <w:color w:val="000000" w:themeColor="text1"/>
          <w:sz w:val="18"/>
          <w:szCs w:val="18"/>
        </w:rPr>
        <w:t xml:space="preserve">; </w:t>
      </w:r>
      <w:proofErr w:type="spellStart"/>
      <w:r w:rsidRPr="00D32AAE">
        <w:rPr>
          <w:rFonts w:ascii="Calibri Light" w:hAnsi="Calibri Light" w:cs="Calibri Light"/>
          <w:color w:val="000000" w:themeColor="text1"/>
          <w:sz w:val="18"/>
          <w:szCs w:val="18"/>
        </w:rPr>
        <w:t>Dualé</w:t>
      </w:r>
      <w:proofErr w:type="spellEnd"/>
      <w:r w:rsidRPr="00D32AAE">
        <w:rPr>
          <w:rFonts w:ascii="Calibri Light" w:hAnsi="Calibri Light" w:cs="Calibri Light"/>
          <w:color w:val="000000" w:themeColor="text1"/>
          <w:sz w:val="18"/>
          <w:szCs w:val="18"/>
        </w:rPr>
        <w:t xml:space="preserve">, Christian, </w:t>
      </w:r>
      <w:proofErr w:type="spellStart"/>
      <w:r w:rsidRPr="00D32AAE">
        <w:rPr>
          <w:rFonts w:ascii="Calibri Light" w:hAnsi="Calibri Light" w:cs="Calibri Light"/>
          <w:color w:val="000000" w:themeColor="text1"/>
          <w:sz w:val="18"/>
          <w:szCs w:val="18"/>
        </w:rPr>
        <w:t>Gaétan</w:t>
      </w:r>
      <w:proofErr w:type="spellEnd"/>
      <w:r w:rsidRPr="00D32AAE">
        <w:rPr>
          <w:rFonts w:ascii="Calibri Light" w:hAnsi="Calibri Light" w:cs="Calibri Light"/>
          <w:color w:val="000000" w:themeColor="text1"/>
          <w:sz w:val="18"/>
          <w:szCs w:val="18"/>
        </w:rPr>
        <w:t xml:space="preserve"> </w:t>
      </w:r>
      <w:proofErr w:type="spellStart"/>
      <w:r w:rsidRPr="00D32AAE">
        <w:rPr>
          <w:rFonts w:ascii="Calibri Light" w:hAnsi="Calibri Light" w:cs="Calibri Light"/>
          <w:color w:val="000000" w:themeColor="text1"/>
          <w:sz w:val="18"/>
          <w:szCs w:val="18"/>
        </w:rPr>
        <w:t>Breysse</w:t>
      </w:r>
      <w:proofErr w:type="spellEnd"/>
      <w:r w:rsidRPr="00D32AAE">
        <w:rPr>
          <w:rFonts w:ascii="Calibri Light" w:hAnsi="Calibri Light" w:cs="Calibri Light"/>
          <w:color w:val="000000" w:themeColor="text1"/>
          <w:sz w:val="18"/>
          <w:szCs w:val="18"/>
        </w:rPr>
        <w:t xml:space="preserve">, </w:t>
      </w:r>
      <w:proofErr w:type="spellStart"/>
      <w:r w:rsidRPr="00D32AAE">
        <w:rPr>
          <w:rFonts w:ascii="Calibri Light" w:hAnsi="Calibri Light" w:cs="Calibri Light"/>
          <w:color w:val="000000" w:themeColor="text1"/>
          <w:sz w:val="18"/>
          <w:szCs w:val="18"/>
        </w:rPr>
        <w:t>Béatrice</w:t>
      </w:r>
      <w:proofErr w:type="spellEnd"/>
      <w:r w:rsidRPr="00D32AAE">
        <w:rPr>
          <w:rFonts w:ascii="Calibri Light" w:hAnsi="Calibri Light" w:cs="Calibri Light"/>
          <w:color w:val="000000" w:themeColor="text1"/>
          <w:sz w:val="18"/>
          <w:szCs w:val="18"/>
        </w:rPr>
        <w:t xml:space="preserve"> </w:t>
      </w:r>
      <w:proofErr w:type="spellStart"/>
      <w:r w:rsidRPr="00D32AAE">
        <w:rPr>
          <w:rFonts w:ascii="Calibri Light" w:hAnsi="Calibri Light" w:cs="Calibri Light"/>
          <w:color w:val="000000" w:themeColor="text1"/>
          <w:sz w:val="18"/>
          <w:szCs w:val="18"/>
        </w:rPr>
        <w:t>Bories‐Azeau</w:t>
      </w:r>
      <w:proofErr w:type="spellEnd"/>
      <w:r w:rsidRPr="00D32AAE">
        <w:rPr>
          <w:rFonts w:ascii="Calibri Light" w:hAnsi="Calibri Light" w:cs="Calibri Light"/>
          <w:color w:val="000000" w:themeColor="text1"/>
          <w:sz w:val="18"/>
          <w:szCs w:val="18"/>
        </w:rPr>
        <w:t xml:space="preserve">, and Catherine </w:t>
      </w:r>
      <w:proofErr w:type="spellStart"/>
      <w:r w:rsidRPr="00D32AAE">
        <w:rPr>
          <w:rFonts w:ascii="Calibri Light" w:hAnsi="Calibri Light" w:cs="Calibri Light"/>
          <w:color w:val="000000" w:themeColor="text1"/>
          <w:sz w:val="18"/>
          <w:szCs w:val="18"/>
        </w:rPr>
        <w:t>Cornu</w:t>
      </w:r>
      <w:proofErr w:type="spellEnd"/>
      <w:r w:rsidRPr="00D32AAE">
        <w:rPr>
          <w:rFonts w:ascii="Calibri Light" w:hAnsi="Calibri Light" w:cs="Calibri Light"/>
          <w:color w:val="000000" w:themeColor="text1"/>
          <w:sz w:val="18"/>
          <w:szCs w:val="18"/>
        </w:rPr>
        <w:t xml:space="preserve">. “French Academic’s Views on Financial Compensation of Participants.” European Journal of Clinical Investigation 46, no. 7 (2016): 619–26. </w:t>
      </w:r>
      <w:hyperlink r:id="rId12" w:history="1">
        <w:r w:rsidRPr="00D32AAE">
          <w:rPr>
            <w:rStyle w:val="Hyperlink"/>
            <w:rFonts w:ascii="Calibri Light" w:hAnsi="Calibri Light" w:cs="Calibri Light"/>
            <w:color w:val="000000" w:themeColor="text1"/>
            <w:sz w:val="18"/>
            <w:szCs w:val="18"/>
            <w:u w:val="none"/>
          </w:rPr>
          <w:t>https://doi.org/10.1111/eci.12638</w:t>
        </w:r>
      </w:hyperlink>
      <w:r w:rsidRPr="00D32AAE">
        <w:rPr>
          <w:rFonts w:ascii="Calibri Light" w:hAnsi="Calibri Light" w:cs="Calibri Light"/>
          <w:color w:val="000000" w:themeColor="text1"/>
          <w:sz w:val="18"/>
          <w:szCs w:val="18"/>
        </w:rPr>
        <w:t>; Largent, Emily A., Christine Grady, Franklin G. Miller, and Alan Wertheimer</w:t>
      </w:r>
      <w:r w:rsidR="003525F4" w:rsidRPr="00D32AAE">
        <w:rPr>
          <w:rFonts w:ascii="Calibri Light" w:hAnsi="Calibri Light" w:cs="Calibri Light"/>
          <w:color w:val="000000" w:themeColor="text1"/>
          <w:sz w:val="18"/>
          <w:szCs w:val="18"/>
        </w:rPr>
        <w:t xml:space="preserve"> pages</w:t>
      </w:r>
      <w:r w:rsidRPr="00D32AAE">
        <w:rPr>
          <w:rFonts w:ascii="Calibri Light" w:hAnsi="Calibri Light" w:cs="Calibri Light"/>
          <w:color w:val="000000" w:themeColor="text1"/>
          <w:sz w:val="18"/>
          <w:szCs w:val="18"/>
        </w:rPr>
        <w:t xml:space="preserve"> 1–8.</w:t>
      </w:r>
    </w:p>
    <w:p w14:paraId="39712142" w14:textId="6BC6D2EA" w:rsidR="00817C6D" w:rsidRPr="00D32AAE" w:rsidRDefault="00817C6D">
      <w:pPr>
        <w:pStyle w:val="EndnoteText"/>
        <w:rPr>
          <w:rFonts w:ascii="Calibri Light" w:hAnsi="Calibri Light" w:cs="Calibri Light"/>
          <w:color w:val="000000" w:themeColor="text1"/>
          <w:sz w:val="18"/>
          <w:szCs w:val="18"/>
          <w:lang w:val="en-US"/>
        </w:rPr>
      </w:pPr>
    </w:p>
  </w:endnote>
  <w:endnote w:id="17">
    <w:p w14:paraId="1D313DAC" w14:textId="7A7E553F"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w:t>
      </w:r>
      <w:proofErr w:type="spellStart"/>
      <w:r w:rsidRPr="00D32AAE">
        <w:rPr>
          <w:rFonts w:ascii="Calibri Light" w:hAnsi="Calibri Light" w:cs="Calibri Light"/>
          <w:color w:val="000000" w:themeColor="text1"/>
          <w:sz w:val="18"/>
          <w:szCs w:val="18"/>
        </w:rPr>
        <w:t>Stunkel</w:t>
      </w:r>
      <w:proofErr w:type="spellEnd"/>
      <w:r w:rsidRPr="00D32AAE">
        <w:rPr>
          <w:rFonts w:ascii="Calibri Light" w:hAnsi="Calibri Light" w:cs="Calibri Light"/>
          <w:color w:val="000000" w:themeColor="text1"/>
          <w:sz w:val="18"/>
          <w:szCs w:val="18"/>
        </w:rPr>
        <w:t xml:space="preserve">, </w:t>
      </w:r>
      <w:r w:rsidR="003525F4" w:rsidRPr="00D32AAE">
        <w:rPr>
          <w:rFonts w:ascii="Calibri Light" w:hAnsi="Calibri Light" w:cs="Calibri Light"/>
          <w:color w:val="000000" w:themeColor="text1"/>
          <w:sz w:val="18"/>
          <w:szCs w:val="18"/>
        </w:rPr>
        <w:t xml:space="preserve">pages </w:t>
      </w:r>
      <w:r w:rsidRPr="00D32AAE">
        <w:rPr>
          <w:rFonts w:ascii="Calibri Light" w:hAnsi="Calibri Light" w:cs="Calibri Light"/>
          <w:color w:val="000000" w:themeColor="text1"/>
          <w:sz w:val="18"/>
          <w:szCs w:val="18"/>
        </w:rPr>
        <w:t xml:space="preserve">342–52; Friesen, Lynn </w:t>
      </w:r>
      <w:proofErr w:type="spellStart"/>
      <w:r w:rsidRPr="00D32AAE">
        <w:rPr>
          <w:rFonts w:ascii="Calibri Light" w:hAnsi="Calibri Light" w:cs="Calibri Light"/>
          <w:color w:val="000000" w:themeColor="text1"/>
          <w:sz w:val="18"/>
          <w:szCs w:val="18"/>
        </w:rPr>
        <w:t>Roosa</w:t>
      </w:r>
      <w:proofErr w:type="spellEnd"/>
      <w:r w:rsidRPr="00D32AAE">
        <w:rPr>
          <w:rFonts w:ascii="Calibri Light" w:hAnsi="Calibri Light" w:cs="Calibri Light"/>
          <w:color w:val="000000" w:themeColor="text1"/>
          <w:sz w:val="18"/>
          <w:szCs w:val="18"/>
        </w:rPr>
        <w:t xml:space="preserve">, and Karen B. Williams. “Attitudes and Motivations Regarding Willingness to Participate in Dental Clinical Trials.” Contemporary Clinical Trials Communications 2 (April 15, 2016): 85–90. </w:t>
      </w:r>
      <w:hyperlink r:id="rId13" w:history="1">
        <w:r w:rsidRPr="00D32AAE">
          <w:rPr>
            <w:rStyle w:val="Hyperlink"/>
            <w:rFonts w:ascii="Calibri Light" w:hAnsi="Calibri Light" w:cs="Calibri Light"/>
            <w:color w:val="000000" w:themeColor="text1"/>
            <w:sz w:val="18"/>
            <w:szCs w:val="18"/>
            <w:u w:val="none"/>
          </w:rPr>
          <w:t>https://doi.org/10.1016/j.conctc.2015.12.011</w:t>
        </w:r>
      </w:hyperlink>
      <w:r w:rsidRPr="00D32AAE">
        <w:rPr>
          <w:rFonts w:ascii="Calibri Light" w:hAnsi="Calibri Light" w:cs="Calibri Light"/>
          <w:color w:val="000000" w:themeColor="text1"/>
          <w:sz w:val="18"/>
          <w:szCs w:val="18"/>
        </w:rPr>
        <w:t>.</w:t>
      </w:r>
    </w:p>
    <w:p w14:paraId="72195D67" w14:textId="0517A2AA" w:rsidR="00817C6D" w:rsidRPr="00D32AAE" w:rsidRDefault="00817C6D">
      <w:pPr>
        <w:pStyle w:val="EndnoteText"/>
        <w:rPr>
          <w:rFonts w:ascii="Calibri Light" w:hAnsi="Calibri Light" w:cs="Calibri Light"/>
          <w:color w:val="000000" w:themeColor="text1"/>
          <w:sz w:val="18"/>
          <w:szCs w:val="18"/>
          <w:lang w:val="en-US"/>
        </w:rPr>
      </w:pPr>
    </w:p>
  </w:endnote>
  <w:endnote w:id="18">
    <w:p w14:paraId="4B5DF0B7" w14:textId="2B1EDB5C" w:rsidR="00817C6D" w:rsidRPr="00D32AAE" w:rsidRDefault="00817C6D" w:rsidP="00A4787B">
      <w:pPr>
        <w:rPr>
          <w:rFonts w:ascii="Calibri Light" w:hAnsi="Calibri Light" w:cs="Calibri Light"/>
          <w:color w:val="000000" w:themeColor="text1"/>
          <w:sz w:val="18"/>
          <w:szCs w:val="18"/>
          <w:lang w:val="en-US"/>
        </w:rPr>
      </w:pPr>
      <w:r w:rsidRPr="00D32AAE">
        <w:rPr>
          <w:rStyle w:val="EndnoteReference"/>
          <w:rFonts w:ascii="Calibri Light" w:hAnsi="Calibri Light" w:cs="Calibri Light"/>
          <w:color w:val="000000" w:themeColor="text1"/>
          <w:sz w:val="18"/>
          <w:szCs w:val="18"/>
        </w:rPr>
        <w:endnoteRef/>
      </w:r>
      <w:r w:rsidRPr="00D32AAE">
        <w:rPr>
          <w:rFonts w:ascii="Calibri Light" w:hAnsi="Calibri Light" w:cs="Calibri Light"/>
          <w:color w:val="000000" w:themeColor="text1"/>
          <w:sz w:val="18"/>
          <w:szCs w:val="18"/>
        </w:rPr>
        <w:t xml:space="preserve"> </w:t>
      </w:r>
      <w:r w:rsidRPr="00D32AAE">
        <w:rPr>
          <w:rFonts w:ascii="Calibri Light" w:hAnsi="Calibri Light" w:cs="Calibri Light"/>
          <w:color w:val="000000" w:themeColor="text1"/>
          <w:sz w:val="18"/>
          <w:szCs w:val="18"/>
          <w:lang w:val="en-US" w:eastAsia="en-US"/>
        </w:rPr>
        <w:t xml:space="preserve">Abadie, Roberto, Brandon Brown, and Celia B. Fisher. “‘Money Helps’: People Who Inject Drugs and Their Perceptions of Financial Compensation and Its Ethical Implications.” Ethics &amp; Behavior 29, no. 8 (November 17, 2019): 607–20. </w:t>
      </w:r>
      <w:hyperlink r:id="rId14" w:history="1">
        <w:r w:rsidRPr="00D32AAE">
          <w:rPr>
            <w:rFonts w:ascii="Calibri Light" w:hAnsi="Calibri Light" w:cs="Calibri Light"/>
            <w:color w:val="000000" w:themeColor="text1"/>
            <w:sz w:val="18"/>
            <w:szCs w:val="18"/>
            <w:lang w:val="en-US" w:eastAsia="en-US"/>
          </w:rPr>
          <w:t>https://doi.org/10.1080/10508422.2018.1535976</w:t>
        </w:r>
      </w:hyperlink>
      <w:r w:rsidRPr="00D32AAE">
        <w:rPr>
          <w:rFonts w:ascii="Calibri Light" w:hAnsi="Calibri Light" w:cs="Calibri Light"/>
          <w:color w:val="000000" w:themeColor="text1"/>
          <w:sz w:val="18"/>
          <w:szCs w:val="18"/>
          <w:lang w:val="en-US"/>
        </w:rPr>
        <w:t xml:space="preserve">; </w:t>
      </w:r>
      <w:proofErr w:type="spellStart"/>
      <w:r w:rsidRPr="00D32AAE">
        <w:rPr>
          <w:rFonts w:ascii="Calibri Light" w:hAnsi="Calibri Light" w:cs="Calibri Light"/>
          <w:color w:val="000000" w:themeColor="text1"/>
          <w:sz w:val="18"/>
          <w:szCs w:val="18"/>
        </w:rPr>
        <w:t>Karagic</w:t>
      </w:r>
      <w:proofErr w:type="spellEnd"/>
      <w:r w:rsidRPr="00D32AAE">
        <w:rPr>
          <w:rFonts w:ascii="Calibri Light" w:hAnsi="Calibri Light" w:cs="Calibri Light"/>
          <w:color w:val="000000" w:themeColor="text1"/>
          <w:sz w:val="18"/>
          <w:szCs w:val="18"/>
        </w:rPr>
        <w:t xml:space="preserve">, </w:t>
      </w:r>
      <w:proofErr w:type="spellStart"/>
      <w:r w:rsidRPr="00D32AAE">
        <w:rPr>
          <w:rFonts w:ascii="Calibri Light" w:hAnsi="Calibri Light" w:cs="Calibri Light"/>
          <w:color w:val="000000" w:themeColor="text1"/>
          <w:sz w:val="18"/>
          <w:szCs w:val="18"/>
        </w:rPr>
        <w:t>Merhunisa</w:t>
      </w:r>
      <w:proofErr w:type="spellEnd"/>
      <w:r w:rsidRPr="00D32AAE">
        <w:rPr>
          <w:rFonts w:ascii="Calibri Light" w:hAnsi="Calibri Light" w:cs="Calibri Light"/>
          <w:color w:val="000000" w:themeColor="text1"/>
          <w:sz w:val="18"/>
          <w:szCs w:val="18"/>
        </w:rPr>
        <w:t xml:space="preserve">, Justin Chin, Jun H. Lin, Nanette Silverberg, and Mary Lee-Wong. “A Cross-Sectional Survey on Patient Perception of Subject Payment for Research.” Journal of Hospital Administration 9, no. 2 (April 15, 2020): 14. </w:t>
      </w:r>
      <w:hyperlink r:id="rId15" w:history="1">
        <w:r w:rsidRPr="00D32AAE">
          <w:rPr>
            <w:rStyle w:val="Hyperlink"/>
            <w:rFonts w:ascii="Calibri Light" w:hAnsi="Calibri Light" w:cs="Calibri Light"/>
            <w:color w:val="000000" w:themeColor="text1"/>
            <w:sz w:val="18"/>
            <w:szCs w:val="18"/>
            <w:u w:val="none"/>
          </w:rPr>
          <w:t>https://doi.org/10.5430/jha.v9n2p14</w:t>
        </w:r>
      </w:hyperlink>
      <w:r w:rsidRPr="00D32AAE">
        <w:rPr>
          <w:rFonts w:ascii="Calibri Light" w:hAnsi="Calibri Light" w:cs="Calibri Light"/>
          <w:color w:val="000000" w:themeColor="text1"/>
          <w:sz w:val="18"/>
          <w:szCs w:val="18"/>
        </w:rPr>
        <w:t>.</w:t>
      </w:r>
    </w:p>
    <w:p w14:paraId="3DA6DAFF" w14:textId="6DE879EA" w:rsidR="00817C6D" w:rsidRPr="00D32AAE" w:rsidRDefault="00817C6D">
      <w:pPr>
        <w:pStyle w:val="EndnoteText"/>
        <w:rPr>
          <w:color w:val="000000" w:themeColor="text1"/>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12F19" w14:textId="77777777" w:rsidR="00FF5384" w:rsidRDefault="00FF5384">
    <w:pPr>
      <w:pStyle w:val="Footer"/>
      <w:rPr>
        <w:rFonts w:asciiTheme="minorHAnsi" w:hAnsiTheme="minorHAnsi" w:cstheme="minorHAnsi"/>
        <w:sz w:val="20"/>
        <w:szCs w:val="20"/>
      </w:rPr>
    </w:pPr>
  </w:p>
  <w:p w14:paraId="5B6D6C69" w14:textId="77777777" w:rsidR="00FF5384" w:rsidRDefault="00FF5384">
    <w:pPr>
      <w:pStyle w:val="Footer"/>
      <w:rPr>
        <w:rFonts w:asciiTheme="minorHAnsi" w:hAnsiTheme="minorHAnsi" w:cstheme="minorHAnsi"/>
        <w:sz w:val="20"/>
        <w:szCs w:val="20"/>
      </w:rPr>
    </w:pPr>
  </w:p>
  <w:p w14:paraId="2F178E3C" w14:textId="4A989A8A" w:rsidR="00FF5384" w:rsidRPr="00FF5384" w:rsidRDefault="00FF5384">
    <w:pPr>
      <w:pStyle w:val="Footer"/>
      <w:rPr>
        <w:rFonts w:asciiTheme="minorHAnsi" w:hAnsiTheme="minorHAnsi" w:cstheme="minorHAnsi"/>
        <w:sz w:val="20"/>
        <w:szCs w:val="20"/>
      </w:rPr>
    </w:pPr>
    <w:r>
      <w:rPr>
        <w:rFonts w:asciiTheme="minorHAnsi" w:hAnsiTheme="minorHAnsi" w:cstheme="minorHAnsi"/>
        <w:sz w:val="20"/>
        <w:szCs w:val="20"/>
      </w:rPr>
      <w:t>*</w:t>
    </w:r>
    <w:r w:rsidRPr="00FF5384">
      <w:rPr>
        <w:rFonts w:asciiTheme="minorHAnsi" w:hAnsiTheme="minorHAnsi" w:cstheme="minorHAnsi"/>
        <w:sz w:val="20"/>
        <w:szCs w:val="20"/>
      </w:rPr>
      <w:t>Amie Devlin, MPH, MA</w:t>
    </w:r>
    <w:r w:rsidRPr="00FF5384">
      <w:rPr>
        <w:rFonts w:asciiTheme="minorHAnsi" w:hAnsiTheme="minorHAnsi" w:cstheme="minorHAnsi"/>
        <w:sz w:val="20"/>
        <w:szCs w:val="20"/>
      </w:rPr>
      <w:br/>
      <w:t>PhD Student, Department of Epidemiology and Biostatistics</w:t>
    </w:r>
    <w:r w:rsidRPr="00FF5384">
      <w:rPr>
        <w:rFonts w:asciiTheme="minorHAnsi" w:hAnsiTheme="minorHAnsi" w:cstheme="minorHAnsi"/>
        <w:sz w:val="20"/>
        <w:szCs w:val="20"/>
      </w:rPr>
      <w:br/>
      <w:t>Urban Health Collaborative | Drexel University</w:t>
    </w:r>
  </w:p>
  <w:p w14:paraId="59D112A6" w14:textId="18BE54E1" w:rsidR="00FF5384" w:rsidRPr="00FF5384" w:rsidRDefault="00FF5384" w:rsidP="00FF5384">
    <w:pPr>
      <w:pStyle w:val="Footer"/>
      <w:rPr>
        <w:sz w:val="20"/>
        <w:szCs w:val="20"/>
        <w:lang w:val="en-US"/>
      </w:rPr>
    </w:pPr>
    <w:r w:rsidRPr="00FF5384">
      <w:rPr>
        <w:sz w:val="20"/>
        <w:szCs w:val="20"/>
        <w:lang w:val="en-US"/>
      </w:rPr>
      <w:t>© 20</w:t>
    </w:r>
    <w:r w:rsidRPr="00FF5384">
      <w:rPr>
        <w:sz w:val="20"/>
        <w:szCs w:val="20"/>
        <w:lang w:val="en-US"/>
      </w:rPr>
      <w:t>20 Amie Devlin</w:t>
    </w:r>
    <w:r w:rsidRPr="00FF5384">
      <w:rPr>
        <w:sz w:val="20"/>
        <w:szCs w:val="20"/>
        <w:lang w:val="en-US"/>
      </w:rPr>
      <w:t>. This is an open access article distributed under the terms of the Creative Commons Attribution License, which permits unrestricted use, distribution, and reproduction, provided the original author and source are credited.</w:t>
    </w:r>
  </w:p>
  <w:p w14:paraId="3E4BFE1E" w14:textId="77777777" w:rsidR="00FF5384" w:rsidRDefault="00FF5384" w:rsidP="00FF5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D94BB" w14:textId="77777777" w:rsidR="00B6214F" w:rsidRDefault="00B6214F" w:rsidP="00AF2C92">
      <w:r>
        <w:separator/>
      </w:r>
    </w:p>
  </w:footnote>
  <w:footnote w:type="continuationSeparator" w:id="0">
    <w:p w14:paraId="20DAC0E8" w14:textId="77777777" w:rsidR="00B6214F" w:rsidRDefault="00B6214F"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9BAA9" w14:textId="034EF3D6" w:rsidR="003D5BA0" w:rsidRPr="003D5BA0" w:rsidRDefault="003D5BA0" w:rsidP="003D5BA0">
    <w:pPr>
      <w:pStyle w:val="IntenseQuote"/>
      <w:pBdr>
        <w:top w:val="single" w:sz="4" w:space="2" w:color="4F81BD" w:themeColor="accent1"/>
      </w:pBdr>
      <w:spacing w:after="120"/>
      <w:rPr>
        <w:i w:val="0"/>
        <w:smallCaps/>
        <w:color w:val="000000" w:themeColor="text1"/>
        <w:spacing w:val="1"/>
        <w:sz w:val="16"/>
        <w:szCs w:val="16"/>
      </w:rPr>
    </w:pPr>
    <w:bookmarkStart w:id="1" w:name="_Hlk45823440"/>
    <w:proofErr w:type="spellStart"/>
    <w:r>
      <w:rPr>
        <w:i w:val="0"/>
        <w:smallCaps/>
        <w:color w:val="000000" w:themeColor="text1"/>
        <w:spacing w:val="1"/>
        <w:sz w:val="16"/>
        <w:szCs w:val="16"/>
      </w:rPr>
      <w:t>devlin</w:t>
    </w:r>
    <w:proofErr w:type="spellEnd"/>
    <w:r>
      <w:rPr>
        <w:i w:val="0"/>
        <w:smallCaps/>
        <w:color w:val="000000" w:themeColor="text1"/>
        <w:spacing w:val="1"/>
        <w:sz w:val="16"/>
        <w:szCs w:val="16"/>
      </w:rPr>
      <w:t>, compensation in medical research, Voices in Bioethics</w:t>
    </w:r>
    <w:r w:rsidRPr="00D62B25">
      <w:rPr>
        <w:i w:val="0"/>
        <w:smallCaps/>
        <w:color w:val="000000" w:themeColor="text1"/>
        <w:spacing w:val="2"/>
        <w:sz w:val="16"/>
        <w:szCs w:val="16"/>
      </w:rPr>
      <w:t>,</w:t>
    </w:r>
    <w:r w:rsidRPr="00D62B25">
      <w:rPr>
        <w:i w:val="0"/>
        <w:smallCaps/>
        <w:color w:val="000000" w:themeColor="text1"/>
        <w:spacing w:val="3"/>
        <w:sz w:val="16"/>
        <w:szCs w:val="16"/>
      </w:rPr>
      <w:t xml:space="preserve"> </w:t>
    </w:r>
    <w:r w:rsidRPr="00D62B25">
      <w:rPr>
        <w:i w:val="0"/>
        <w:smallCaps/>
        <w:color w:val="000000" w:themeColor="text1"/>
        <w:sz w:val="16"/>
        <w:szCs w:val="16"/>
      </w:rPr>
      <w:t>Vol.</w:t>
    </w:r>
    <w:r w:rsidR="0099462A">
      <w:rPr>
        <w:i w:val="0"/>
        <w:smallCaps/>
        <w:color w:val="000000" w:themeColor="text1"/>
        <w:sz w:val="16"/>
        <w:szCs w:val="16"/>
      </w:rPr>
      <w:t xml:space="preserve"> 6</w:t>
    </w:r>
    <w:r w:rsidRPr="00D62B25">
      <w:rPr>
        <w:i w:val="0"/>
        <w:smallCaps/>
        <w:color w:val="000000" w:themeColor="text1"/>
        <w:spacing w:val="2"/>
        <w:sz w:val="16"/>
        <w:szCs w:val="16"/>
      </w:rPr>
      <w:t xml:space="preserve"> </w:t>
    </w:r>
    <w:r w:rsidRPr="00D62B25">
      <w:rPr>
        <w:i w:val="0"/>
        <w:smallCaps/>
        <w:color w:val="000000" w:themeColor="text1"/>
        <w:sz w:val="16"/>
        <w:szCs w:val="16"/>
      </w:rPr>
      <w:t>(20</w:t>
    </w:r>
    <w:r>
      <w:rPr>
        <w:i w:val="0"/>
        <w:smallCaps/>
        <w:color w:val="000000" w:themeColor="text1"/>
        <w:sz w:val="16"/>
        <w:szCs w:val="16"/>
      </w:rPr>
      <w:t>20</w:t>
    </w:r>
    <w:r w:rsidRPr="00D62B25">
      <w:rPr>
        <w:i w:val="0"/>
        <w:smallCaps/>
        <w:color w:val="000000" w:themeColor="text1"/>
        <w:sz w:val="16"/>
        <w:szCs w:val="16"/>
      </w:rPr>
      <w:t>)</w:t>
    </w:r>
  </w:p>
  <w:bookmarkEnd w:id="1"/>
  <w:p w14:paraId="678A3276" w14:textId="77777777" w:rsidR="003D5BA0" w:rsidRDefault="003D5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208FD" w14:textId="3B1DAC61" w:rsidR="00FF5384" w:rsidRPr="003D5BA0" w:rsidRDefault="00FF5384" w:rsidP="00FF5384">
    <w:pPr>
      <w:pStyle w:val="IntenseQuote"/>
      <w:pBdr>
        <w:top w:val="single" w:sz="4" w:space="2" w:color="4F81BD" w:themeColor="accent1"/>
      </w:pBdr>
      <w:spacing w:after="120"/>
      <w:rPr>
        <w:i w:val="0"/>
        <w:smallCaps/>
        <w:color w:val="000000" w:themeColor="text1"/>
        <w:spacing w:val="1"/>
        <w:sz w:val="16"/>
        <w:szCs w:val="16"/>
      </w:rPr>
    </w:pPr>
    <w:r>
      <w:rPr>
        <w:i w:val="0"/>
        <w:smallCaps/>
        <w:color w:val="000000" w:themeColor="text1"/>
        <w:spacing w:val="1"/>
        <w:sz w:val="16"/>
        <w:szCs w:val="16"/>
      </w:rPr>
      <w:t>D</w:t>
    </w:r>
    <w:r>
      <w:rPr>
        <w:i w:val="0"/>
        <w:smallCaps/>
        <w:color w:val="000000" w:themeColor="text1"/>
        <w:spacing w:val="1"/>
        <w:sz w:val="16"/>
        <w:szCs w:val="16"/>
      </w:rPr>
      <w:t xml:space="preserve">evlin, </w:t>
    </w:r>
    <w:r>
      <w:rPr>
        <w:i w:val="0"/>
        <w:smallCaps/>
        <w:color w:val="000000" w:themeColor="text1"/>
        <w:spacing w:val="1"/>
        <w:sz w:val="16"/>
        <w:szCs w:val="16"/>
      </w:rPr>
      <w:t>C</w:t>
    </w:r>
    <w:r>
      <w:rPr>
        <w:i w:val="0"/>
        <w:smallCaps/>
        <w:color w:val="000000" w:themeColor="text1"/>
        <w:spacing w:val="1"/>
        <w:sz w:val="16"/>
        <w:szCs w:val="16"/>
      </w:rPr>
      <w:t xml:space="preserve">ompensation in </w:t>
    </w:r>
    <w:r>
      <w:rPr>
        <w:i w:val="0"/>
        <w:smallCaps/>
        <w:color w:val="000000" w:themeColor="text1"/>
        <w:spacing w:val="1"/>
        <w:sz w:val="16"/>
        <w:szCs w:val="16"/>
      </w:rPr>
      <w:t>M</w:t>
    </w:r>
    <w:r>
      <w:rPr>
        <w:i w:val="0"/>
        <w:smallCaps/>
        <w:color w:val="000000" w:themeColor="text1"/>
        <w:spacing w:val="1"/>
        <w:sz w:val="16"/>
        <w:szCs w:val="16"/>
      </w:rPr>
      <w:t xml:space="preserve">edical </w:t>
    </w:r>
    <w:r>
      <w:rPr>
        <w:i w:val="0"/>
        <w:smallCaps/>
        <w:color w:val="000000" w:themeColor="text1"/>
        <w:spacing w:val="1"/>
        <w:sz w:val="16"/>
        <w:szCs w:val="16"/>
      </w:rPr>
      <w:t>R</w:t>
    </w:r>
    <w:r>
      <w:rPr>
        <w:i w:val="0"/>
        <w:smallCaps/>
        <w:color w:val="000000" w:themeColor="text1"/>
        <w:spacing w:val="1"/>
        <w:sz w:val="16"/>
        <w:szCs w:val="16"/>
      </w:rPr>
      <w:t>esearch, Voices in Bioethics</w:t>
    </w:r>
    <w:r w:rsidRPr="00D62B25">
      <w:rPr>
        <w:i w:val="0"/>
        <w:smallCaps/>
        <w:color w:val="000000" w:themeColor="text1"/>
        <w:spacing w:val="2"/>
        <w:sz w:val="16"/>
        <w:szCs w:val="16"/>
      </w:rPr>
      <w:t>,</w:t>
    </w:r>
    <w:r w:rsidRPr="00D62B25">
      <w:rPr>
        <w:i w:val="0"/>
        <w:smallCaps/>
        <w:color w:val="000000" w:themeColor="text1"/>
        <w:spacing w:val="3"/>
        <w:sz w:val="16"/>
        <w:szCs w:val="16"/>
      </w:rPr>
      <w:t xml:space="preserve"> </w:t>
    </w:r>
    <w:r w:rsidRPr="00D62B25">
      <w:rPr>
        <w:i w:val="0"/>
        <w:smallCaps/>
        <w:color w:val="000000" w:themeColor="text1"/>
        <w:sz w:val="16"/>
        <w:szCs w:val="16"/>
      </w:rPr>
      <w:t>Vol.</w:t>
    </w:r>
    <w:r>
      <w:rPr>
        <w:i w:val="0"/>
        <w:smallCaps/>
        <w:color w:val="000000" w:themeColor="text1"/>
        <w:sz w:val="16"/>
        <w:szCs w:val="16"/>
      </w:rPr>
      <w:t xml:space="preserve"> 6</w:t>
    </w:r>
    <w:r w:rsidRPr="00D62B25">
      <w:rPr>
        <w:i w:val="0"/>
        <w:smallCaps/>
        <w:color w:val="000000" w:themeColor="text1"/>
        <w:spacing w:val="2"/>
        <w:sz w:val="16"/>
        <w:szCs w:val="16"/>
      </w:rPr>
      <w:t xml:space="preserve"> </w:t>
    </w:r>
    <w:r w:rsidRPr="00D62B25">
      <w:rPr>
        <w:i w:val="0"/>
        <w:smallCaps/>
        <w:color w:val="000000" w:themeColor="text1"/>
        <w:sz w:val="16"/>
        <w:szCs w:val="16"/>
      </w:rPr>
      <w:t>(20</w:t>
    </w:r>
    <w:r>
      <w:rPr>
        <w:i w:val="0"/>
        <w:smallCaps/>
        <w:color w:val="000000" w:themeColor="text1"/>
        <w:sz w:val="16"/>
        <w:szCs w:val="16"/>
      </w:rPr>
      <w:t>20</w:t>
    </w:r>
    <w:r w:rsidRPr="00D62B25">
      <w:rPr>
        <w:i w:val="0"/>
        <w:smallCaps/>
        <w:color w:val="000000" w:themeColor="text1"/>
        <w:sz w:val="16"/>
        <w:szCs w:val="16"/>
      </w:rPr>
      <w:t>)</w:t>
    </w:r>
  </w:p>
  <w:p w14:paraId="41C1CB34" w14:textId="77777777" w:rsidR="00FF5384" w:rsidRPr="00FF5384" w:rsidRDefault="00FF5384" w:rsidP="00FF5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A950E0"/>
    <w:multiLevelType w:val="multilevel"/>
    <w:tmpl w:val="D8A27724"/>
    <w:lvl w:ilvl="0">
      <w:start w:val="1"/>
      <w:numFmt w:val="bullet"/>
      <w:lvlText w:val="•"/>
      <w:lvlJc w:val="left"/>
      <w:pPr>
        <w:ind w:left="189" w:hanging="189"/>
      </w:pPr>
      <w:rPr>
        <w:smallCaps w:val="0"/>
        <w:strike w:val="0"/>
        <w:shd w:val="clear" w:color="auto" w:fill="auto"/>
        <w:vertAlign w:val="baseline"/>
      </w:rPr>
    </w:lvl>
    <w:lvl w:ilvl="1">
      <w:start w:val="1"/>
      <w:numFmt w:val="bullet"/>
      <w:lvlText w:val="-"/>
      <w:lvlJc w:val="left"/>
      <w:pPr>
        <w:ind w:left="774" w:hanging="173"/>
      </w:pPr>
      <w:rPr>
        <w:rFonts w:ascii="Arial" w:eastAsia="Arial" w:hAnsi="Arial" w:cs="Arial"/>
        <w:b/>
        <w:i w:val="0"/>
        <w:smallCaps w:val="0"/>
        <w:strike w:val="0"/>
        <w:shd w:val="clear" w:color="auto" w:fill="auto"/>
        <w:vertAlign w:val="baseline"/>
      </w:rPr>
    </w:lvl>
    <w:lvl w:ilvl="2">
      <w:start w:val="1"/>
      <w:numFmt w:val="bullet"/>
      <w:lvlText w:val="-"/>
      <w:lvlJc w:val="left"/>
      <w:pPr>
        <w:ind w:left="1374" w:hanging="174"/>
      </w:pPr>
      <w:rPr>
        <w:rFonts w:ascii="Arial" w:eastAsia="Arial" w:hAnsi="Arial" w:cs="Arial"/>
        <w:b/>
        <w:i w:val="0"/>
        <w:smallCaps w:val="0"/>
        <w:strike w:val="0"/>
        <w:shd w:val="clear" w:color="auto" w:fill="auto"/>
        <w:vertAlign w:val="baseline"/>
      </w:rPr>
    </w:lvl>
    <w:lvl w:ilvl="3">
      <w:start w:val="1"/>
      <w:numFmt w:val="bullet"/>
      <w:lvlText w:val="-"/>
      <w:lvlJc w:val="left"/>
      <w:pPr>
        <w:ind w:left="1990" w:hanging="190"/>
      </w:pPr>
      <w:rPr>
        <w:rFonts w:ascii="Arial" w:eastAsia="Arial" w:hAnsi="Arial" w:cs="Arial"/>
        <w:b/>
        <w:i w:val="0"/>
        <w:smallCaps w:val="0"/>
        <w:strike w:val="0"/>
        <w:shd w:val="clear" w:color="auto" w:fill="auto"/>
        <w:vertAlign w:val="baseline"/>
      </w:rPr>
    </w:lvl>
    <w:lvl w:ilvl="4">
      <w:start w:val="1"/>
      <w:numFmt w:val="bullet"/>
      <w:lvlText w:val="-"/>
      <w:lvlJc w:val="left"/>
      <w:pPr>
        <w:ind w:left="2590" w:hanging="190"/>
      </w:pPr>
      <w:rPr>
        <w:rFonts w:ascii="Arial" w:eastAsia="Arial" w:hAnsi="Arial" w:cs="Arial"/>
        <w:b/>
        <w:i w:val="0"/>
        <w:smallCaps w:val="0"/>
        <w:strike w:val="0"/>
        <w:shd w:val="clear" w:color="auto" w:fill="auto"/>
        <w:vertAlign w:val="baseline"/>
      </w:rPr>
    </w:lvl>
    <w:lvl w:ilvl="5">
      <w:start w:val="1"/>
      <w:numFmt w:val="bullet"/>
      <w:lvlText w:val="-"/>
      <w:lvlJc w:val="left"/>
      <w:pPr>
        <w:ind w:left="3190" w:hanging="190"/>
      </w:pPr>
      <w:rPr>
        <w:rFonts w:ascii="Arial" w:eastAsia="Arial" w:hAnsi="Arial" w:cs="Arial"/>
        <w:b/>
        <w:i w:val="0"/>
        <w:smallCaps w:val="0"/>
        <w:strike w:val="0"/>
        <w:shd w:val="clear" w:color="auto" w:fill="auto"/>
        <w:vertAlign w:val="baseline"/>
      </w:rPr>
    </w:lvl>
    <w:lvl w:ilvl="6">
      <w:start w:val="1"/>
      <w:numFmt w:val="bullet"/>
      <w:lvlText w:val="-"/>
      <w:lvlJc w:val="left"/>
      <w:pPr>
        <w:ind w:left="3790" w:hanging="190"/>
      </w:pPr>
      <w:rPr>
        <w:rFonts w:ascii="Arial" w:eastAsia="Arial" w:hAnsi="Arial" w:cs="Arial"/>
        <w:b/>
        <w:i w:val="0"/>
        <w:smallCaps w:val="0"/>
        <w:strike w:val="0"/>
        <w:shd w:val="clear" w:color="auto" w:fill="auto"/>
        <w:vertAlign w:val="baseline"/>
      </w:rPr>
    </w:lvl>
    <w:lvl w:ilvl="7">
      <w:start w:val="1"/>
      <w:numFmt w:val="bullet"/>
      <w:lvlText w:val="-"/>
      <w:lvlJc w:val="left"/>
      <w:pPr>
        <w:ind w:left="4390" w:hanging="190"/>
      </w:pPr>
      <w:rPr>
        <w:rFonts w:ascii="Arial" w:eastAsia="Arial" w:hAnsi="Arial" w:cs="Arial"/>
        <w:b/>
        <w:i w:val="0"/>
        <w:smallCaps w:val="0"/>
        <w:strike w:val="0"/>
        <w:shd w:val="clear" w:color="auto" w:fill="auto"/>
        <w:vertAlign w:val="baseline"/>
      </w:rPr>
    </w:lvl>
    <w:lvl w:ilvl="8">
      <w:start w:val="1"/>
      <w:numFmt w:val="bullet"/>
      <w:lvlText w:val="-"/>
      <w:lvlJc w:val="left"/>
      <w:pPr>
        <w:ind w:left="4990" w:hanging="190"/>
      </w:pPr>
      <w:rPr>
        <w:rFonts w:ascii="Arial" w:eastAsia="Arial" w:hAnsi="Arial" w:cs="Arial"/>
        <w:b/>
        <w:i w:val="0"/>
        <w:smallCaps w:val="0"/>
        <w:strike w:val="0"/>
        <w:shd w:val="clear" w:color="auto" w:fill="auto"/>
        <w:vertAlign w:val="baseline"/>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077DA"/>
    <w:multiLevelType w:val="hybridMultilevel"/>
    <w:tmpl w:val="6D060F4A"/>
    <w:lvl w:ilvl="0" w:tplc="956843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06238C"/>
    <w:multiLevelType w:val="hybridMultilevel"/>
    <w:tmpl w:val="DC289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2B2317"/>
    <w:multiLevelType w:val="hybridMultilevel"/>
    <w:tmpl w:val="267CB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B2A22"/>
    <w:multiLevelType w:val="multilevel"/>
    <w:tmpl w:val="1CF0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3"/>
  </w:num>
  <w:num w:numId="15">
    <w:abstractNumId w:val="15"/>
  </w:num>
  <w:num w:numId="16">
    <w:abstractNumId w:val="17"/>
  </w:num>
  <w:num w:numId="17">
    <w:abstractNumId w:val="11"/>
  </w:num>
  <w:num w:numId="18">
    <w:abstractNumId w:val="0"/>
  </w:num>
  <w:num w:numId="19">
    <w:abstractNumId w:val="12"/>
  </w:num>
  <w:num w:numId="20">
    <w:abstractNumId w:val="23"/>
  </w:num>
  <w:num w:numId="21">
    <w:abstractNumId w:val="23"/>
  </w:num>
  <w:num w:numId="22">
    <w:abstractNumId w:val="23"/>
  </w:num>
  <w:num w:numId="23">
    <w:abstractNumId w:val="23"/>
  </w:num>
  <w:num w:numId="24">
    <w:abstractNumId w:val="19"/>
  </w:num>
  <w:num w:numId="25">
    <w:abstractNumId w:val="20"/>
  </w:num>
  <w:num w:numId="26">
    <w:abstractNumId w:val="24"/>
  </w:num>
  <w:num w:numId="27">
    <w:abstractNumId w:val="25"/>
  </w:num>
  <w:num w:numId="28">
    <w:abstractNumId w:val="23"/>
  </w:num>
  <w:num w:numId="29">
    <w:abstractNumId w:val="14"/>
  </w:num>
  <w:num w:numId="30">
    <w:abstractNumId w:val="28"/>
  </w:num>
  <w:num w:numId="31">
    <w:abstractNumId w:val="23"/>
  </w:num>
  <w:num w:numId="32">
    <w:abstractNumId w:val="13"/>
  </w:num>
  <w:num w:numId="33">
    <w:abstractNumId w:val="26"/>
  </w:num>
  <w:num w:numId="34">
    <w:abstractNumId w:val="21"/>
  </w:num>
  <w:num w:numId="35">
    <w:abstractNumId w:val="27"/>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Chicago 16th Footno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2szfw2pbprpp2e5ary5wzah5zzss2dve2te&quot;&gt;My EndNote Library&lt;record-ids&gt;&lt;item&gt;95&lt;/item&gt;&lt;/record-ids&gt;&lt;/item&gt;&lt;/Libraries&gt;"/>
  </w:docVars>
  <w:rsids>
    <w:rsidRoot w:val="00410401"/>
    <w:rsid w:val="00001899"/>
    <w:rsid w:val="000041D6"/>
    <w:rsid w:val="000049AD"/>
    <w:rsid w:val="000133C0"/>
    <w:rsid w:val="00014C4E"/>
    <w:rsid w:val="00017107"/>
    <w:rsid w:val="000202E2"/>
    <w:rsid w:val="00022441"/>
    <w:rsid w:val="0002261E"/>
    <w:rsid w:val="00024839"/>
    <w:rsid w:val="00026871"/>
    <w:rsid w:val="00037A98"/>
    <w:rsid w:val="000427FB"/>
    <w:rsid w:val="000436BF"/>
    <w:rsid w:val="0004455E"/>
    <w:rsid w:val="000447B3"/>
    <w:rsid w:val="00047CB5"/>
    <w:rsid w:val="000505E1"/>
    <w:rsid w:val="00051FAA"/>
    <w:rsid w:val="00052409"/>
    <w:rsid w:val="000572A9"/>
    <w:rsid w:val="00061325"/>
    <w:rsid w:val="00065672"/>
    <w:rsid w:val="00070BF6"/>
    <w:rsid w:val="000733AC"/>
    <w:rsid w:val="00074D22"/>
    <w:rsid w:val="00075081"/>
    <w:rsid w:val="0007528A"/>
    <w:rsid w:val="000811AB"/>
    <w:rsid w:val="00083C5F"/>
    <w:rsid w:val="00084910"/>
    <w:rsid w:val="000855F3"/>
    <w:rsid w:val="0009172C"/>
    <w:rsid w:val="000930EC"/>
    <w:rsid w:val="00095E61"/>
    <w:rsid w:val="000966C1"/>
    <w:rsid w:val="000970AC"/>
    <w:rsid w:val="000A1167"/>
    <w:rsid w:val="000A4428"/>
    <w:rsid w:val="000A6D40"/>
    <w:rsid w:val="000A7BC3"/>
    <w:rsid w:val="000B1661"/>
    <w:rsid w:val="000B193C"/>
    <w:rsid w:val="000B2E88"/>
    <w:rsid w:val="000B4603"/>
    <w:rsid w:val="000C09BE"/>
    <w:rsid w:val="000C1380"/>
    <w:rsid w:val="000C19F1"/>
    <w:rsid w:val="000C554F"/>
    <w:rsid w:val="000C63F8"/>
    <w:rsid w:val="000D0DC5"/>
    <w:rsid w:val="000D15FF"/>
    <w:rsid w:val="000D28DF"/>
    <w:rsid w:val="000D4436"/>
    <w:rsid w:val="000D488B"/>
    <w:rsid w:val="000D68DF"/>
    <w:rsid w:val="000E04F3"/>
    <w:rsid w:val="000E138D"/>
    <w:rsid w:val="000E187A"/>
    <w:rsid w:val="000E2C5F"/>
    <w:rsid w:val="000E2D61"/>
    <w:rsid w:val="000E450E"/>
    <w:rsid w:val="000E6259"/>
    <w:rsid w:val="000E6743"/>
    <w:rsid w:val="000F4677"/>
    <w:rsid w:val="000F5BE0"/>
    <w:rsid w:val="00100587"/>
    <w:rsid w:val="001005E3"/>
    <w:rsid w:val="0010284E"/>
    <w:rsid w:val="00103122"/>
    <w:rsid w:val="0010336A"/>
    <w:rsid w:val="00104114"/>
    <w:rsid w:val="001050F1"/>
    <w:rsid w:val="00105AEA"/>
    <w:rsid w:val="00106DAF"/>
    <w:rsid w:val="00111BED"/>
    <w:rsid w:val="00114EB9"/>
    <w:rsid w:val="00116023"/>
    <w:rsid w:val="00126227"/>
    <w:rsid w:val="00126FDC"/>
    <w:rsid w:val="00134A51"/>
    <w:rsid w:val="00140024"/>
    <w:rsid w:val="00140727"/>
    <w:rsid w:val="00160628"/>
    <w:rsid w:val="00161344"/>
    <w:rsid w:val="00162195"/>
    <w:rsid w:val="0016322A"/>
    <w:rsid w:val="00165A21"/>
    <w:rsid w:val="001705CE"/>
    <w:rsid w:val="0017714B"/>
    <w:rsid w:val="001804DF"/>
    <w:rsid w:val="00181BDC"/>
    <w:rsid w:val="00181DB0"/>
    <w:rsid w:val="001829E3"/>
    <w:rsid w:val="001830BB"/>
    <w:rsid w:val="0019731E"/>
    <w:rsid w:val="001A09FE"/>
    <w:rsid w:val="001A67C9"/>
    <w:rsid w:val="001A69DE"/>
    <w:rsid w:val="001B1C7C"/>
    <w:rsid w:val="001B398F"/>
    <w:rsid w:val="001B46C6"/>
    <w:rsid w:val="001B4B48"/>
    <w:rsid w:val="001B4D1F"/>
    <w:rsid w:val="001B7681"/>
    <w:rsid w:val="001B7CAE"/>
    <w:rsid w:val="001B7E41"/>
    <w:rsid w:val="001C0772"/>
    <w:rsid w:val="001C0D4F"/>
    <w:rsid w:val="001C1DEC"/>
    <w:rsid w:val="001C5736"/>
    <w:rsid w:val="001D2E70"/>
    <w:rsid w:val="001D4A49"/>
    <w:rsid w:val="001D724D"/>
    <w:rsid w:val="001E0572"/>
    <w:rsid w:val="001E0A67"/>
    <w:rsid w:val="001E1028"/>
    <w:rsid w:val="001E14E2"/>
    <w:rsid w:val="001E2F63"/>
    <w:rsid w:val="001E6302"/>
    <w:rsid w:val="001E7DCB"/>
    <w:rsid w:val="001F3411"/>
    <w:rsid w:val="001F4287"/>
    <w:rsid w:val="001F4DBA"/>
    <w:rsid w:val="002010C2"/>
    <w:rsid w:val="0020415E"/>
    <w:rsid w:val="00204FF4"/>
    <w:rsid w:val="0021056E"/>
    <w:rsid w:val="0021075D"/>
    <w:rsid w:val="0021165A"/>
    <w:rsid w:val="00211BC9"/>
    <w:rsid w:val="0021620C"/>
    <w:rsid w:val="00216E78"/>
    <w:rsid w:val="00217275"/>
    <w:rsid w:val="00231BB0"/>
    <w:rsid w:val="00236F4B"/>
    <w:rsid w:val="00241A41"/>
    <w:rsid w:val="00242B0D"/>
    <w:rsid w:val="00242DA7"/>
    <w:rsid w:val="002467C6"/>
    <w:rsid w:val="0024692A"/>
    <w:rsid w:val="00252BBA"/>
    <w:rsid w:val="00253123"/>
    <w:rsid w:val="00264001"/>
    <w:rsid w:val="00266354"/>
    <w:rsid w:val="00267A18"/>
    <w:rsid w:val="00273462"/>
    <w:rsid w:val="0027395B"/>
    <w:rsid w:val="00275854"/>
    <w:rsid w:val="00276D69"/>
    <w:rsid w:val="00283B41"/>
    <w:rsid w:val="00285F28"/>
    <w:rsid w:val="00286398"/>
    <w:rsid w:val="00286E95"/>
    <w:rsid w:val="002A3C42"/>
    <w:rsid w:val="002A5D75"/>
    <w:rsid w:val="002A7F47"/>
    <w:rsid w:val="002B1B1A"/>
    <w:rsid w:val="002B4129"/>
    <w:rsid w:val="002B59CF"/>
    <w:rsid w:val="002B7228"/>
    <w:rsid w:val="002C08E5"/>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03668"/>
    <w:rsid w:val="00315713"/>
    <w:rsid w:val="0031686C"/>
    <w:rsid w:val="00316FE0"/>
    <w:rsid w:val="003204D2"/>
    <w:rsid w:val="0032605E"/>
    <w:rsid w:val="003275D1"/>
    <w:rsid w:val="00330B2A"/>
    <w:rsid w:val="00331E17"/>
    <w:rsid w:val="00333063"/>
    <w:rsid w:val="003404A8"/>
    <w:rsid w:val="003408E3"/>
    <w:rsid w:val="00343480"/>
    <w:rsid w:val="00345E89"/>
    <w:rsid w:val="003522A1"/>
    <w:rsid w:val="0035254B"/>
    <w:rsid w:val="003525F4"/>
    <w:rsid w:val="00353555"/>
    <w:rsid w:val="003565D4"/>
    <w:rsid w:val="003607FB"/>
    <w:rsid w:val="00360FD5"/>
    <w:rsid w:val="003634A5"/>
    <w:rsid w:val="00366868"/>
    <w:rsid w:val="00367506"/>
    <w:rsid w:val="00370085"/>
    <w:rsid w:val="003744A7"/>
    <w:rsid w:val="00376235"/>
    <w:rsid w:val="003803B6"/>
    <w:rsid w:val="00381FB6"/>
    <w:rsid w:val="003836D3"/>
    <w:rsid w:val="00383A52"/>
    <w:rsid w:val="003850AB"/>
    <w:rsid w:val="00391652"/>
    <w:rsid w:val="0039507F"/>
    <w:rsid w:val="003A1260"/>
    <w:rsid w:val="003A295F"/>
    <w:rsid w:val="003A41DD"/>
    <w:rsid w:val="003A7033"/>
    <w:rsid w:val="003B47FE"/>
    <w:rsid w:val="003B5673"/>
    <w:rsid w:val="003B62C9"/>
    <w:rsid w:val="003C5368"/>
    <w:rsid w:val="003C7176"/>
    <w:rsid w:val="003D0332"/>
    <w:rsid w:val="003D0929"/>
    <w:rsid w:val="003D4729"/>
    <w:rsid w:val="003D5BA0"/>
    <w:rsid w:val="003D7DD6"/>
    <w:rsid w:val="003E5AAF"/>
    <w:rsid w:val="003E600D"/>
    <w:rsid w:val="003E64DF"/>
    <w:rsid w:val="003E6A5D"/>
    <w:rsid w:val="003F193A"/>
    <w:rsid w:val="003F4207"/>
    <w:rsid w:val="003F5C46"/>
    <w:rsid w:val="003F7CBB"/>
    <w:rsid w:val="003F7D34"/>
    <w:rsid w:val="00410401"/>
    <w:rsid w:val="00412C8E"/>
    <w:rsid w:val="0041518D"/>
    <w:rsid w:val="0042221D"/>
    <w:rsid w:val="00424DD3"/>
    <w:rsid w:val="004269C5"/>
    <w:rsid w:val="00433F53"/>
    <w:rsid w:val="00435939"/>
    <w:rsid w:val="00437CC7"/>
    <w:rsid w:val="00442157"/>
    <w:rsid w:val="00442B9C"/>
    <w:rsid w:val="0044347A"/>
    <w:rsid w:val="0044738A"/>
    <w:rsid w:val="004473D3"/>
    <w:rsid w:val="00452231"/>
    <w:rsid w:val="00460C13"/>
    <w:rsid w:val="00463228"/>
    <w:rsid w:val="00463782"/>
    <w:rsid w:val="004667E0"/>
    <w:rsid w:val="0046760E"/>
    <w:rsid w:val="00470E10"/>
    <w:rsid w:val="00473368"/>
    <w:rsid w:val="0047590C"/>
    <w:rsid w:val="00477A97"/>
    <w:rsid w:val="00481343"/>
    <w:rsid w:val="00483796"/>
    <w:rsid w:val="0048549E"/>
    <w:rsid w:val="00493347"/>
    <w:rsid w:val="00496092"/>
    <w:rsid w:val="004A08DB"/>
    <w:rsid w:val="004A25D0"/>
    <w:rsid w:val="004A37E8"/>
    <w:rsid w:val="004A7549"/>
    <w:rsid w:val="004B09D4"/>
    <w:rsid w:val="004B2BDB"/>
    <w:rsid w:val="004B330A"/>
    <w:rsid w:val="004B7C8E"/>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6AAB"/>
    <w:rsid w:val="0051798B"/>
    <w:rsid w:val="00521F5A"/>
    <w:rsid w:val="00525E06"/>
    <w:rsid w:val="00526454"/>
    <w:rsid w:val="00531823"/>
    <w:rsid w:val="00534ECC"/>
    <w:rsid w:val="0053720D"/>
    <w:rsid w:val="00540714"/>
    <w:rsid w:val="00540EF5"/>
    <w:rsid w:val="00541BF3"/>
    <w:rsid w:val="00541CD3"/>
    <w:rsid w:val="005476FA"/>
    <w:rsid w:val="00555607"/>
    <w:rsid w:val="0055595E"/>
    <w:rsid w:val="00557988"/>
    <w:rsid w:val="00562C49"/>
    <w:rsid w:val="00562DEF"/>
    <w:rsid w:val="00563A35"/>
    <w:rsid w:val="00566596"/>
    <w:rsid w:val="00567D20"/>
    <w:rsid w:val="005741E9"/>
    <w:rsid w:val="005748CF"/>
    <w:rsid w:val="00576E41"/>
    <w:rsid w:val="00584270"/>
    <w:rsid w:val="00584738"/>
    <w:rsid w:val="005920B0"/>
    <w:rsid w:val="0059380D"/>
    <w:rsid w:val="00595A8F"/>
    <w:rsid w:val="00597BF2"/>
    <w:rsid w:val="005A0472"/>
    <w:rsid w:val="005B134E"/>
    <w:rsid w:val="005B2039"/>
    <w:rsid w:val="005B344F"/>
    <w:rsid w:val="005B3FBA"/>
    <w:rsid w:val="005B40C3"/>
    <w:rsid w:val="005B4A1D"/>
    <w:rsid w:val="005B674D"/>
    <w:rsid w:val="005C0042"/>
    <w:rsid w:val="005C0CBE"/>
    <w:rsid w:val="005C1FCF"/>
    <w:rsid w:val="005C2855"/>
    <w:rsid w:val="005D1885"/>
    <w:rsid w:val="005D4A38"/>
    <w:rsid w:val="005D7BE8"/>
    <w:rsid w:val="005E2EEA"/>
    <w:rsid w:val="005E3708"/>
    <w:rsid w:val="005E3CCD"/>
    <w:rsid w:val="005E3D6B"/>
    <w:rsid w:val="005E4D61"/>
    <w:rsid w:val="005E5E4A"/>
    <w:rsid w:val="005E693D"/>
    <w:rsid w:val="005E75BF"/>
    <w:rsid w:val="005F57BA"/>
    <w:rsid w:val="005F61E6"/>
    <w:rsid w:val="005F6C45"/>
    <w:rsid w:val="00605A69"/>
    <w:rsid w:val="00606C54"/>
    <w:rsid w:val="00614375"/>
    <w:rsid w:val="00615B0A"/>
    <w:rsid w:val="006168CF"/>
    <w:rsid w:val="0062011B"/>
    <w:rsid w:val="0062037B"/>
    <w:rsid w:val="00626DE0"/>
    <w:rsid w:val="00630901"/>
    <w:rsid w:val="00631F8E"/>
    <w:rsid w:val="0063567B"/>
    <w:rsid w:val="00636EE9"/>
    <w:rsid w:val="00640950"/>
    <w:rsid w:val="00641AE7"/>
    <w:rsid w:val="00642629"/>
    <w:rsid w:val="00651021"/>
    <w:rsid w:val="0065293D"/>
    <w:rsid w:val="00653EFC"/>
    <w:rsid w:val="00654021"/>
    <w:rsid w:val="00661045"/>
    <w:rsid w:val="00666DA8"/>
    <w:rsid w:val="00671057"/>
    <w:rsid w:val="00672E2F"/>
    <w:rsid w:val="00675AAF"/>
    <w:rsid w:val="0068031A"/>
    <w:rsid w:val="00681B2F"/>
    <w:rsid w:val="0068335F"/>
    <w:rsid w:val="00693302"/>
    <w:rsid w:val="0069640B"/>
    <w:rsid w:val="006A1B83"/>
    <w:rsid w:val="006A21CD"/>
    <w:rsid w:val="006A5918"/>
    <w:rsid w:val="006B21B2"/>
    <w:rsid w:val="006B4A4A"/>
    <w:rsid w:val="006B4B6F"/>
    <w:rsid w:val="006C19B2"/>
    <w:rsid w:val="006C5BB8"/>
    <w:rsid w:val="006C6936"/>
    <w:rsid w:val="006C7B01"/>
    <w:rsid w:val="006D0D7A"/>
    <w:rsid w:val="006D0FE8"/>
    <w:rsid w:val="006D4B2B"/>
    <w:rsid w:val="006D4F3C"/>
    <w:rsid w:val="006D5C66"/>
    <w:rsid w:val="006E1B3C"/>
    <w:rsid w:val="006E23FB"/>
    <w:rsid w:val="006E325A"/>
    <w:rsid w:val="006E33EC"/>
    <w:rsid w:val="006E3802"/>
    <w:rsid w:val="006E6C02"/>
    <w:rsid w:val="006E6F08"/>
    <w:rsid w:val="006F231A"/>
    <w:rsid w:val="006F788D"/>
    <w:rsid w:val="006F78E1"/>
    <w:rsid w:val="00701072"/>
    <w:rsid w:val="00702054"/>
    <w:rsid w:val="007035A4"/>
    <w:rsid w:val="00711799"/>
    <w:rsid w:val="00712B78"/>
    <w:rsid w:val="007131C7"/>
    <w:rsid w:val="0071393B"/>
    <w:rsid w:val="00713EE2"/>
    <w:rsid w:val="007177FC"/>
    <w:rsid w:val="00720C5E"/>
    <w:rsid w:val="00721701"/>
    <w:rsid w:val="00731835"/>
    <w:rsid w:val="007341F8"/>
    <w:rsid w:val="00734372"/>
    <w:rsid w:val="00734EB8"/>
    <w:rsid w:val="00735F8B"/>
    <w:rsid w:val="00742D1F"/>
    <w:rsid w:val="00742FE1"/>
    <w:rsid w:val="00743D72"/>
    <w:rsid w:val="00743EBA"/>
    <w:rsid w:val="00744C8E"/>
    <w:rsid w:val="0074707E"/>
    <w:rsid w:val="007516DC"/>
    <w:rsid w:val="00754B80"/>
    <w:rsid w:val="00755AD1"/>
    <w:rsid w:val="00761918"/>
    <w:rsid w:val="00762F03"/>
    <w:rsid w:val="0076413B"/>
    <w:rsid w:val="007648AE"/>
    <w:rsid w:val="00764BF8"/>
    <w:rsid w:val="0076514D"/>
    <w:rsid w:val="00773D59"/>
    <w:rsid w:val="00781003"/>
    <w:rsid w:val="007839F5"/>
    <w:rsid w:val="007845DD"/>
    <w:rsid w:val="00784CD0"/>
    <w:rsid w:val="00790B8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D7D5F"/>
    <w:rsid w:val="007D7DE5"/>
    <w:rsid w:val="007E3AA7"/>
    <w:rsid w:val="007F737D"/>
    <w:rsid w:val="0080308E"/>
    <w:rsid w:val="00806705"/>
    <w:rsid w:val="00806738"/>
    <w:rsid w:val="008162F1"/>
    <w:rsid w:val="00817C6D"/>
    <w:rsid w:val="008216D5"/>
    <w:rsid w:val="008249CE"/>
    <w:rsid w:val="00831A50"/>
    <w:rsid w:val="00831B3C"/>
    <w:rsid w:val="00831C89"/>
    <w:rsid w:val="00832114"/>
    <w:rsid w:val="00832A34"/>
    <w:rsid w:val="00834C46"/>
    <w:rsid w:val="00835F7E"/>
    <w:rsid w:val="0084093E"/>
    <w:rsid w:val="00841CE1"/>
    <w:rsid w:val="008452FC"/>
    <w:rsid w:val="008473D8"/>
    <w:rsid w:val="008528DC"/>
    <w:rsid w:val="00852B8C"/>
    <w:rsid w:val="00854981"/>
    <w:rsid w:val="0085544E"/>
    <w:rsid w:val="00864B2E"/>
    <w:rsid w:val="00865963"/>
    <w:rsid w:val="0087450E"/>
    <w:rsid w:val="00874B61"/>
    <w:rsid w:val="00875A82"/>
    <w:rsid w:val="00876CA3"/>
    <w:rsid w:val="008772FE"/>
    <w:rsid w:val="008775F1"/>
    <w:rsid w:val="008821AE"/>
    <w:rsid w:val="00883D3A"/>
    <w:rsid w:val="008854F7"/>
    <w:rsid w:val="00885A9D"/>
    <w:rsid w:val="008929D2"/>
    <w:rsid w:val="00893636"/>
    <w:rsid w:val="00893B94"/>
    <w:rsid w:val="00896E9D"/>
    <w:rsid w:val="00896F11"/>
    <w:rsid w:val="00897986"/>
    <w:rsid w:val="008A1049"/>
    <w:rsid w:val="008A1C98"/>
    <w:rsid w:val="008A322D"/>
    <w:rsid w:val="008A4D72"/>
    <w:rsid w:val="008A6285"/>
    <w:rsid w:val="008A63B2"/>
    <w:rsid w:val="008B345D"/>
    <w:rsid w:val="008C1FC2"/>
    <w:rsid w:val="008C2980"/>
    <w:rsid w:val="008C5AFB"/>
    <w:rsid w:val="008D07FB"/>
    <w:rsid w:val="008D0C02"/>
    <w:rsid w:val="008D357D"/>
    <w:rsid w:val="008E387B"/>
    <w:rsid w:val="008E6087"/>
    <w:rsid w:val="008E758D"/>
    <w:rsid w:val="008F044F"/>
    <w:rsid w:val="008F10A7"/>
    <w:rsid w:val="008F755D"/>
    <w:rsid w:val="008F7A39"/>
    <w:rsid w:val="009021E8"/>
    <w:rsid w:val="00903999"/>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57AC4"/>
    <w:rsid w:val="009625FA"/>
    <w:rsid w:val="00966C79"/>
    <w:rsid w:val="009673E8"/>
    <w:rsid w:val="00973BDE"/>
    <w:rsid w:val="00974DB8"/>
    <w:rsid w:val="00980661"/>
    <w:rsid w:val="0098093B"/>
    <w:rsid w:val="00986358"/>
    <w:rsid w:val="009876D4"/>
    <w:rsid w:val="009914A5"/>
    <w:rsid w:val="0099462A"/>
    <w:rsid w:val="0099548E"/>
    <w:rsid w:val="00996456"/>
    <w:rsid w:val="00996A12"/>
    <w:rsid w:val="00997B0F"/>
    <w:rsid w:val="009A1CAD"/>
    <w:rsid w:val="009A3440"/>
    <w:rsid w:val="009A48EB"/>
    <w:rsid w:val="009A5832"/>
    <w:rsid w:val="009A6838"/>
    <w:rsid w:val="009B24B5"/>
    <w:rsid w:val="009B4EBC"/>
    <w:rsid w:val="009B5ABB"/>
    <w:rsid w:val="009B73CE"/>
    <w:rsid w:val="009C2461"/>
    <w:rsid w:val="009C5E14"/>
    <w:rsid w:val="009C6392"/>
    <w:rsid w:val="009C6FE2"/>
    <w:rsid w:val="009C7674"/>
    <w:rsid w:val="009D004A"/>
    <w:rsid w:val="009D06D2"/>
    <w:rsid w:val="009D5770"/>
    <w:rsid w:val="009D5880"/>
    <w:rsid w:val="009E3B07"/>
    <w:rsid w:val="009E47E9"/>
    <w:rsid w:val="009E51D1"/>
    <w:rsid w:val="009E5531"/>
    <w:rsid w:val="009F0F69"/>
    <w:rsid w:val="009F171E"/>
    <w:rsid w:val="009F3D2F"/>
    <w:rsid w:val="009F4B56"/>
    <w:rsid w:val="009F7052"/>
    <w:rsid w:val="00A02668"/>
    <w:rsid w:val="00A02801"/>
    <w:rsid w:val="00A06A39"/>
    <w:rsid w:val="00A07F58"/>
    <w:rsid w:val="00A131CB"/>
    <w:rsid w:val="00A14847"/>
    <w:rsid w:val="00A160AA"/>
    <w:rsid w:val="00A16D6D"/>
    <w:rsid w:val="00A21383"/>
    <w:rsid w:val="00A215DD"/>
    <w:rsid w:val="00A2199F"/>
    <w:rsid w:val="00A21B31"/>
    <w:rsid w:val="00A2360E"/>
    <w:rsid w:val="00A26E0C"/>
    <w:rsid w:val="00A32FCB"/>
    <w:rsid w:val="00A34C25"/>
    <w:rsid w:val="00A3507D"/>
    <w:rsid w:val="00A35692"/>
    <w:rsid w:val="00A3717A"/>
    <w:rsid w:val="00A37A02"/>
    <w:rsid w:val="00A4088C"/>
    <w:rsid w:val="00A4456B"/>
    <w:rsid w:val="00A448D4"/>
    <w:rsid w:val="00A452E0"/>
    <w:rsid w:val="00A4787B"/>
    <w:rsid w:val="00A51EA5"/>
    <w:rsid w:val="00A52C63"/>
    <w:rsid w:val="00A53742"/>
    <w:rsid w:val="00A557A1"/>
    <w:rsid w:val="00A62414"/>
    <w:rsid w:val="00A63059"/>
    <w:rsid w:val="00A63AE3"/>
    <w:rsid w:val="00A651A4"/>
    <w:rsid w:val="00A71361"/>
    <w:rsid w:val="00A746E2"/>
    <w:rsid w:val="00A81FF2"/>
    <w:rsid w:val="00A83904"/>
    <w:rsid w:val="00A90A79"/>
    <w:rsid w:val="00A95175"/>
    <w:rsid w:val="00A96B30"/>
    <w:rsid w:val="00AA59B5"/>
    <w:rsid w:val="00AA7777"/>
    <w:rsid w:val="00AA7B84"/>
    <w:rsid w:val="00AB1E5C"/>
    <w:rsid w:val="00AB470B"/>
    <w:rsid w:val="00AC0B4C"/>
    <w:rsid w:val="00AC1164"/>
    <w:rsid w:val="00AC2296"/>
    <w:rsid w:val="00AC2754"/>
    <w:rsid w:val="00AC48B0"/>
    <w:rsid w:val="00AC4ACD"/>
    <w:rsid w:val="00AC5059"/>
    <w:rsid w:val="00AC5DFB"/>
    <w:rsid w:val="00AD13DC"/>
    <w:rsid w:val="00AD6DE2"/>
    <w:rsid w:val="00AE0A40"/>
    <w:rsid w:val="00AE1ED4"/>
    <w:rsid w:val="00AE21E1"/>
    <w:rsid w:val="00AE2F8D"/>
    <w:rsid w:val="00AE3BAE"/>
    <w:rsid w:val="00AE6A21"/>
    <w:rsid w:val="00AF1C8F"/>
    <w:rsid w:val="00AF2B68"/>
    <w:rsid w:val="00AF2C92"/>
    <w:rsid w:val="00AF3EC1"/>
    <w:rsid w:val="00AF4FA0"/>
    <w:rsid w:val="00AF5025"/>
    <w:rsid w:val="00AF519F"/>
    <w:rsid w:val="00AF5387"/>
    <w:rsid w:val="00AF55F5"/>
    <w:rsid w:val="00AF7E86"/>
    <w:rsid w:val="00B024B9"/>
    <w:rsid w:val="00B077FA"/>
    <w:rsid w:val="00B12217"/>
    <w:rsid w:val="00B127D7"/>
    <w:rsid w:val="00B13B0C"/>
    <w:rsid w:val="00B1453A"/>
    <w:rsid w:val="00B20F82"/>
    <w:rsid w:val="00B2453F"/>
    <w:rsid w:val="00B25BD5"/>
    <w:rsid w:val="00B34079"/>
    <w:rsid w:val="00B3793A"/>
    <w:rsid w:val="00B401BA"/>
    <w:rsid w:val="00B407E4"/>
    <w:rsid w:val="00B425B6"/>
    <w:rsid w:val="00B42A72"/>
    <w:rsid w:val="00B441AE"/>
    <w:rsid w:val="00B45F33"/>
    <w:rsid w:val="00B46D50"/>
    <w:rsid w:val="00B51560"/>
    <w:rsid w:val="00B53170"/>
    <w:rsid w:val="00B6214F"/>
    <w:rsid w:val="00B62999"/>
    <w:rsid w:val="00B63BE3"/>
    <w:rsid w:val="00B64885"/>
    <w:rsid w:val="00B66810"/>
    <w:rsid w:val="00B72BE3"/>
    <w:rsid w:val="00B73B80"/>
    <w:rsid w:val="00B770C7"/>
    <w:rsid w:val="00B80F26"/>
    <w:rsid w:val="00B821CD"/>
    <w:rsid w:val="00B822BD"/>
    <w:rsid w:val="00B842F4"/>
    <w:rsid w:val="00B91A7B"/>
    <w:rsid w:val="00B929DD"/>
    <w:rsid w:val="00B95405"/>
    <w:rsid w:val="00B963F1"/>
    <w:rsid w:val="00BA020A"/>
    <w:rsid w:val="00BA0E6C"/>
    <w:rsid w:val="00BA59FB"/>
    <w:rsid w:val="00BA7B96"/>
    <w:rsid w:val="00BB02A4"/>
    <w:rsid w:val="00BB1270"/>
    <w:rsid w:val="00BB1E44"/>
    <w:rsid w:val="00BB5267"/>
    <w:rsid w:val="00BB52B8"/>
    <w:rsid w:val="00BB59D8"/>
    <w:rsid w:val="00BB6A0E"/>
    <w:rsid w:val="00BB7E69"/>
    <w:rsid w:val="00BC131C"/>
    <w:rsid w:val="00BC34A8"/>
    <w:rsid w:val="00BC3C1F"/>
    <w:rsid w:val="00BC7CE7"/>
    <w:rsid w:val="00BD295E"/>
    <w:rsid w:val="00BD4664"/>
    <w:rsid w:val="00BE005D"/>
    <w:rsid w:val="00BE1193"/>
    <w:rsid w:val="00BE6786"/>
    <w:rsid w:val="00BF0B21"/>
    <w:rsid w:val="00BF4849"/>
    <w:rsid w:val="00BF4EA7"/>
    <w:rsid w:val="00C00EDB"/>
    <w:rsid w:val="00C02863"/>
    <w:rsid w:val="00C0383A"/>
    <w:rsid w:val="00C067FF"/>
    <w:rsid w:val="00C12862"/>
    <w:rsid w:val="00C13D28"/>
    <w:rsid w:val="00C13D73"/>
    <w:rsid w:val="00C14585"/>
    <w:rsid w:val="00C165A0"/>
    <w:rsid w:val="00C216CE"/>
    <w:rsid w:val="00C2184F"/>
    <w:rsid w:val="00C22A78"/>
    <w:rsid w:val="00C23C7E"/>
    <w:rsid w:val="00C246C5"/>
    <w:rsid w:val="00C25A82"/>
    <w:rsid w:val="00C30A2A"/>
    <w:rsid w:val="00C32475"/>
    <w:rsid w:val="00C33993"/>
    <w:rsid w:val="00C4069E"/>
    <w:rsid w:val="00C41ADC"/>
    <w:rsid w:val="00C43ABE"/>
    <w:rsid w:val="00C44149"/>
    <w:rsid w:val="00C44410"/>
    <w:rsid w:val="00C44A15"/>
    <w:rsid w:val="00C4630A"/>
    <w:rsid w:val="00C523F0"/>
    <w:rsid w:val="00C526D2"/>
    <w:rsid w:val="00C5794E"/>
    <w:rsid w:val="00C60968"/>
    <w:rsid w:val="00C63D39"/>
    <w:rsid w:val="00C63EDD"/>
    <w:rsid w:val="00C65B36"/>
    <w:rsid w:val="00C7292E"/>
    <w:rsid w:val="00C74E88"/>
    <w:rsid w:val="00C80710"/>
    <w:rsid w:val="00C80924"/>
    <w:rsid w:val="00C8286B"/>
    <w:rsid w:val="00C8639C"/>
    <w:rsid w:val="00C91125"/>
    <w:rsid w:val="00C947F8"/>
    <w:rsid w:val="00C9515F"/>
    <w:rsid w:val="00C963C5"/>
    <w:rsid w:val="00CA030C"/>
    <w:rsid w:val="00CA1DA7"/>
    <w:rsid w:val="00CA1F41"/>
    <w:rsid w:val="00CA32EE"/>
    <w:rsid w:val="00CA6A1A"/>
    <w:rsid w:val="00CC1E75"/>
    <w:rsid w:val="00CC2E0E"/>
    <w:rsid w:val="00CC361C"/>
    <w:rsid w:val="00CC474B"/>
    <w:rsid w:val="00CC658C"/>
    <w:rsid w:val="00CC67BF"/>
    <w:rsid w:val="00CD0843"/>
    <w:rsid w:val="00CD5A78"/>
    <w:rsid w:val="00CD7345"/>
    <w:rsid w:val="00CE372E"/>
    <w:rsid w:val="00CF0A1B"/>
    <w:rsid w:val="00CF19F6"/>
    <w:rsid w:val="00CF1DAD"/>
    <w:rsid w:val="00CF20BD"/>
    <w:rsid w:val="00CF2F4F"/>
    <w:rsid w:val="00CF536D"/>
    <w:rsid w:val="00D10CB8"/>
    <w:rsid w:val="00D110D9"/>
    <w:rsid w:val="00D12806"/>
    <w:rsid w:val="00D12D44"/>
    <w:rsid w:val="00D15018"/>
    <w:rsid w:val="00D158AC"/>
    <w:rsid w:val="00D1694C"/>
    <w:rsid w:val="00D20F5E"/>
    <w:rsid w:val="00D23B76"/>
    <w:rsid w:val="00D27E87"/>
    <w:rsid w:val="00D32AAE"/>
    <w:rsid w:val="00D379A3"/>
    <w:rsid w:val="00D404BA"/>
    <w:rsid w:val="00D43272"/>
    <w:rsid w:val="00D45BF7"/>
    <w:rsid w:val="00D45FF3"/>
    <w:rsid w:val="00D512CF"/>
    <w:rsid w:val="00D528B9"/>
    <w:rsid w:val="00D53186"/>
    <w:rsid w:val="00D5487D"/>
    <w:rsid w:val="00D60140"/>
    <w:rsid w:val="00D6024A"/>
    <w:rsid w:val="00D608B5"/>
    <w:rsid w:val="00D71F99"/>
    <w:rsid w:val="00D73CA4"/>
    <w:rsid w:val="00D73D71"/>
    <w:rsid w:val="00D74396"/>
    <w:rsid w:val="00D80284"/>
    <w:rsid w:val="00D81F71"/>
    <w:rsid w:val="00D8642D"/>
    <w:rsid w:val="00D87288"/>
    <w:rsid w:val="00D90A5E"/>
    <w:rsid w:val="00D91A68"/>
    <w:rsid w:val="00D9228B"/>
    <w:rsid w:val="00D95A68"/>
    <w:rsid w:val="00DA17C7"/>
    <w:rsid w:val="00DA6A9A"/>
    <w:rsid w:val="00DB1EFD"/>
    <w:rsid w:val="00DB3EAF"/>
    <w:rsid w:val="00DC3203"/>
    <w:rsid w:val="00DC3C99"/>
    <w:rsid w:val="00DC52F5"/>
    <w:rsid w:val="00DC5B61"/>
    <w:rsid w:val="00DC5FD0"/>
    <w:rsid w:val="00DC6A40"/>
    <w:rsid w:val="00DD0354"/>
    <w:rsid w:val="00DD1E17"/>
    <w:rsid w:val="00DD27D7"/>
    <w:rsid w:val="00DD458C"/>
    <w:rsid w:val="00DD72E9"/>
    <w:rsid w:val="00DD7605"/>
    <w:rsid w:val="00DE2020"/>
    <w:rsid w:val="00DE3476"/>
    <w:rsid w:val="00DE47D6"/>
    <w:rsid w:val="00DF5B84"/>
    <w:rsid w:val="00DF6D5B"/>
    <w:rsid w:val="00DF771B"/>
    <w:rsid w:val="00DF7EE2"/>
    <w:rsid w:val="00E01BAA"/>
    <w:rsid w:val="00E02328"/>
    <w:rsid w:val="00E0282A"/>
    <w:rsid w:val="00E07E14"/>
    <w:rsid w:val="00E14F94"/>
    <w:rsid w:val="00E17336"/>
    <w:rsid w:val="00E17D15"/>
    <w:rsid w:val="00E22B95"/>
    <w:rsid w:val="00E23955"/>
    <w:rsid w:val="00E30331"/>
    <w:rsid w:val="00E30BB8"/>
    <w:rsid w:val="00E31F9C"/>
    <w:rsid w:val="00E40488"/>
    <w:rsid w:val="00E50367"/>
    <w:rsid w:val="00E51ABA"/>
    <w:rsid w:val="00E524CB"/>
    <w:rsid w:val="00E5509C"/>
    <w:rsid w:val="00E65456"/>
    <w:rsid w:val="00E65A91"/>
    <w:rsid w:val="00E66188"/>
    <w:rsid w:val="00E664FB"/>
    <w:rsid w:val="00E70373"/>
    <w:rsid w:val="00E72E40"/>
    <w:rsid w:val="00E73665"/>
    <w:rsid w:val="00E73999"/>
    <w:rsid w:val="00E73BDC"/>
    <w:rsid w:val="00E73E9E"/>
    <w:rsid w:val="00E77DB9"/>
    <w:rsid w:val="00E81660"/>
    <w:rsid w:val="00E854FE"/>
    <w:rsid w:val="00E906CC"/>
    <w:rsid w:val="00E939A0"/>
    <w:rsid w:val="00E97E4E"/>
    <w:rsid w:val="00EA1CC2"/>
    <w:rsid w:val="00EA2D76"/>
    <w:rsid w:val="00EA4644"/>
    <w:rsid w:val="00EA758A"/>
    <w:rsid w:val="00EB199F"/>
    <w:rsid w:val="00EB27C4"/>
    <w:rsid w:val="00EB296C"/>
    <w:rsid w:val="00EB5387"/>
    <w:rsid w:val="00EB5C10"/>
    <w:rsid w:val="00EB7322"/>
    <w:rsid w:val="00EC0FE9"/>
    <w:rsid w:val="00EC426D"/>
    <w:rsid w:val="00EC4745"/>
    <w:rsid w:val="00EC571B"/>
    <w:rsid w:val="00EC57D7"/>
    <w:rsid w:val="00EC6385"/>
    <w:rsid w:val="00ED1DE9"/>
    <w:rsid w:val="00ED23D4"/>
    <w:rsid w:val="00ED5E0B"/>
    <w:rsid w:val="00EE37B6"/>
    <w:rsid w:val="00EF0F45"/>
    <w:rsid w:val="00EF7463"/>
    <w:rsid w:val="00F002EF"/>
    <w:rsid w:val="00F01EE9"/>
    <w:rsid w:val="00F02F94"/>
    <w:rsid w:val="00F04900"/>
    <w:rsid w:val="00F065A4"/>
    <w:rsid w:val="00F126B9"/>
    <w:rsid w:val="00F12715"/>
    <w:rsid w:val="00F144D5"/>
    <w:rsid w:val="00F14633"/>
    <w:rsid w:val="00F146F0"/>
    <w:rsid w:val="00F15039"/>
    <w:rsid w:val="00F20FF3"/>
    <w:rsid w:val="00F2190B"/>
    <w:rsid w:val="00F228B5"/>
    <w:rsid w:val="00F2389C"/>
    <w:rsid w:val="00F2428C"/>
    <w:rsid w:val="00F25C67"/>
    <w:rsid w:val="00F30DFF"/>
    <w:rsid w:val="00F32B80"/>
    <w:rsid w:val="00F340EB"/>
    <w:rsid w:val="00F35285"/>
    <w:rsid w:val="00F43B9D"/>
    <w:rsid w:val="00F44D5E"/>
    <w:rsid w:val="00F52D6A"/>
    <w:rsid w:val="00F53A35"/>
    <w:rsid w:val="00F55A3D"/>
    <w:rsid w:val="00F5744B"/>
    <w:rsid w:val="00F61209"/>
    <w:rsid w:val="00F6259E"/>
    <w:rsid w:val="00F65DD4"/>
    <w:rsid w:val="00F672B2"/>
    <w:rsid w:val="00F83973"/>
    <w:rsid w:val="00F87FA3"/>
    <w:rsid w:val="00F907EA"/>
    <w:rsid w:val="00F93D8C"/>
    <w:rsid w:val="00FA3102"/>
    <w:rsid w:val="00FA48D4"/>
    <w:rsid w:val="00FA54FA"/>
    <w:rsid w:val="00FB227E"/>
    <w:rsid w:val="00FB3001"/>
    <w:rsid w:val="00FB3D61"/>
    <w:rsid w:val="00FB44CE"/>
    <w:rsid w:val="00FB5009"/>
    <w:rsid w:val="00FB76AB"/>
    <w:rsid w:val="00FC3481"/>
    <w:rsid w:val="00FD03FE"/>
    <w:rsid w:val="00FD126E"/>
    <w:rsid w:val="00FD3C36"/>
    <w:rsid w:val="00FD4D81"/>
    <w:rsid w:val="00FD6BCF"/>
    <w:rsid w:val="00FD7498"/>
    <w:rsid w:val="00FD7FB3"/>
    <w:rsid w:val="00FE4713"/>
    <w:rsid w:val="00FF1F44"/>
    <w:rsid w:val="00FF225E"/>
    <w:rsid w:val="00FF5384"/>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DB1B6"/>
  <w15:docId w15:val="{5309A2BA-31F8-F848-80C7-979923E5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BA0"/>
    <w:rPr>
      <w:sz w:val="24"/>
      <w:szCs w:val="24"/>
      <w:lang w:val="en-ZA"/>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0C19F1"/>
    <w:pPr>
      <w:ind w:left="284" w:hanging="284"/>
    </w:pPr>
    <w:rPr>
      <w:sz w:val="22"/>
      <w:szCs w:val="20"/>
    </w:rPr>
  </w:style>
  <w:style w:type="character" w:customStyle="1" w:styleId="EndnoteTextChar">
    <w:name w:val="Endnote Text Char"/>
    <w:basedOn w:val="DefaultParagraphFont"/>
    <w:link w:val="EndnoteText"/>
    <w:rsid w:val="000C19F1"/>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F02F94"/>
    <w:pPr>
      <w:tabs>
        <w:tab w:val="center" w:pos="4320"/>
        <w:tab w:val="right" w:pos="8640"/>
      </w:tabs>
    </w:pPr>
  </w:style>
  <w:style w:type="character" w:customStyle="1" w:styleId="HeaderChar">
    <w:name w:val="Header Char"/>
    <w:basedOn w:val="DefaultParagraphFont"/>
    <w:link w:val="Header"/>
    <w:uiPriority w:val="99"/>
    <w:rsid w:val="00F02F94"/>
    <w:rPr>
      <w:sz w:val="24"/>
      <w:szCs w:val="24"/>
    </w:rPr>
  </w:style>
  <w:style w:type="paragraph" w:styleId="Footer">
    <w:name w:val="footer"/>
    <w:basedOn w:val="Normal"/>
    <w:link w:val="FooterChar"/>
    <w:uiPriority w:val="99"/>
    <w:rsid w:val="00F02F94"/>
    <w:pPr>
      <w:tabs>
        <w:tab w:val="center" w:pos="4320"/>
        <w:tab w:val="right" w:pos="8640"/>
      </w:tabs>
    </w:p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apple-tab-span">
    <w:name w:val="apple-tab-span"/>
    <w:basedOn w:val="DefaultParagraphFont"/>
    <w:rsid w:val="00897986"/>
  </w:style>
  <w:style w:type="character" w:customStyle="1" w:styleId="apple-converted-space">
    <w:name w:val="apple-converted-space"/>
    <w:basedOn w:val="DefaultParagraphFont"/>
    <w:rsid w:val="00DE47D6"/>
  </w:style>
  <w:style w:type="paragraph" w:styleId="ListParagraph">
    <w:name w:val="List Paragraph"/>
    <w:basedOn w:val="Normal"/>
    <w:rsid w:val="005E4D61"/>
    <w:pPr>
      <w:ind w:left="720"/>
      <w:contextualSpacing/>
    </w:pPr>
  </w:style>
  <w:style w:type="paragraph" w:styleId="BalloonText">
    <w:name w:val="Balloon Text"/>
    <w:basedOn w:val="Normal"/>
    <w:link w:val="BalloonTextChar"/>
    <w:semiHidden/>
    <w:unhideWhenUsed/>
    <w:rsid w:val="00BC34A8"/>
    <w:rPr>
      <w:sz w:val="18"/>
      <w:szCs w:val="18"/>
    </w:rPr>
  </w:style>
  <w:style w:type="character" w:customStyle="1" w:styleId="BalloonTextChar">
    <w:name w:val="Balloon Text Char"/>
    <w:basedOn w:val="DefaultParagraphFont"/>
    <w:link w:val="BalloonText"/>
    <w:semiHidden/>
    <w:rsid w:val="00BC34A8"/>
    <w:rPr>
      <w:sz w:val="18"/>
      <w:szCs w:val="18"/>
    </w:rPr>
  </w:style>
  <w:style w:type="character" w:styleId="Hyperlink">
    <w:name w:val="Hyperlink"/>
    <w:basedOn w:val="DefaultParagraphFont"/>
    <w:uiPriority w:val="99"/>
    <w:semiHidden/>
    <w:unhideWhenUsed/>
    <w:rsid w:val="005C2855"/>
    <w:rPr>
      <w:color w:val="0000FF"/>
      <w:u w:val="single"/>
    </w:rPr>
  </w:style>
  <w:style w:type="character" w:styleId="CommentReference">
    <w:name w:val="annotation reference"/>
    <w:basedOn w:val="DefaultParagraphFont"/>
    <w:semiHidden/>
    <w:unhideWhenUsed/>
    <w:rsid w:val="00AB470B"/>
    <w:rPr>
      <w:sz w:val="16"/>
      <w:szCs w:val="16"/>
    </w:rPr>
  </w:style>
  <w:style w:type="paragraph" w:styleId="CommentText">
    <w:name w:val="annotation text"/>
    <w:basedOn w:val="Normal"/>
    <w:link w:val="CommentTextChar"/>
    <w:semiHidden/>
    <w:unhideWhenUsed/>
    <w:rsid w:val="00AB470B"/>
    <w:rPr>
      <w:sz w:val="20"/>
      <w:szCs w:val="20"/>
    </w:rPr>
  </w:style>
  <w:style w:type="character" w:customStyle="1" w:styleId="CommentTextChar">
    <w:name w:val="Comment Text Char"/>
    <w:basedOn w:val="DefaultParagraphFont"/>
    <w:link w:val="CommentText"/>
    <w:semiHidden/>
    <w:rsid w:val="00AB470B"/>
  </w:style>
  <w:style w:type="paragraph" w:styleId="CommentSubject">
    <w:name w:val="annotation subject"/>
    <w:basedOn w:val="CommentText"/>
    <w:next w:val="CommentText"/>
    <w:link w:val="CommentSubjectChar"/>
    <w:semiHidden/>
    <w:unhideWhenUsed/>
    <w:rsid w:val="00AB470B"/>
    <w:rPr>
      <w:b/>
      <w:bCs/>
    </w:rPr>
  </w:style>
  <w:style w:type="character" w:customStyle="1" w:styleId="CommentSubjectChar">
    <w:name w:val="Comment Subject Char"/>
    <w:basedOn w:val="CommentTextChar"/>
    <w:link w:val="CommentSubject"/>
    <w:semiHidden/>
    <w:rsid w:val="00AB470B"/>
    <w:rPr>
      <w:b/>
      <w:bCs/>
    </w:rPr>
  </w:style>
  <w:style w:type="paragraph" w:styleId="Revision">
    <w:name w:val="Revision"/>
    <w:hidden/>
    <w:semiHidden/>
    <w:rsid w:val="002B4129"/>
    <w:rPr>
      <w:sz w:val="24"/>
      <w:szCs w:val="24"/>
    </w:rPr>
  </w:style>
  <w:style w:type="character" w:styleId="Strong">
    <w:name w:val="Strong"/>
    <w:basedOn w:val="DefaultParagraphFont"/>
    <w:uiPriority w:val="22"/>
    <w:qFormat/>
    <w:rsid w:val="003D5BA0"/>
    <w:rPr>
      <w:b/>
      <w:bCs/>
    </w:rPr>
  </w:style>
  <w:style w:type="paragraph" w:styleId="IntenseQuote">
    <w:name w:val="Intense Quote"/>
    <w:aliases w:val="Journal title header"/>
    <w:basedOn w:val="Normal"/>
    <w:next w:val="Normal"/>
    <w:link w:val="IntenseQuoteChar"/>
    <w:uiPriority w:val="30"/>
    <w:qFormat/>
    <w:rsid w:val="003D5BA0"/>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val="en-US" w:eastAsia="en-US"/>
    </w:rPr>
  </w:style>
  <w:style w:type="character" w:customStyle="1" w:styleId="IntenseQuoteChar">
    <w:name w:val="Intense Quote Char"/>
    <w:aliases w:val="Journal title header Char"/>
    <w:basedOn w:val="DefaultParagraphFont"/>
    <w:link w:val="IntenseQuote"/>
    <w:uiPriority w:val="30"/>
    <w:rsid w:val="003D5BA0"/>
    <w:rPr>
      <w:rFonts w:asciiTheme="minorHAnsi" w:eastAsiaTheme="minorEastAsia" w:hAnsiTheme="minorHAnsi" w:cstheme="minorBidi"/>
      <w:i/>
      <w:iCs/>
      <w:color w:val="404040" w:themeColor="text1" w:themeTint="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5491">
      <w:bodyDiv w:val="1"/>
      <w:marLeft w:val="0"/>
      <w:marRight w:val="0"/>
      <w:marTop w:val="0"/>
      <w:marBottom w:val="0"/>
      <w:divBdr>
        <w:top w:val="none" w:sz="0" w:space="0" w:color="auto"/>
        <w:left w:val="none" w:sz="0" w:space="0" w:color="auto"/>
        <w:bottom w:val="none" w:sz="0" w:space="0" w:color="auto"/>
        <w:right w:val="none" w:sz="0" w:space="0" w:color="auto"/>
      </w:divBdr>
      <w:divsChild>
        <w:div w:id="638923062">
          <w:marLeft w:val="480"/>
          <w:marRight w:val="0"/>
          <w:marTop w:val="0"/>
          <w:marBottom w:val="0"/>
          <w:divBdr>
            <w:top w:val="none" w:sz="0" w:space="0" w:color="auto"/>
            <w:left w:val="none" w:sz="0" w:space="0" w:color="auto"/>
            <w:bottom w:val="none" w:sz="0" w:space="0" w:color="auto"/>
            <w:right w:val="none" w:sz="0" w:space="0" w:color="auto"/>
          </w:divBdr>
          <w:divsChild>
            <w:div w:id="1486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322">
      <w:bodyDiv w:val="1"/>
      <w:marLeft w:val="0"/>
      <w:marRight w:val="0"/>
      <w:marTop w:val="0"/>
      <w:marBottom w:val="0"/>
      <w:divBdr>
        <w:top w:val="none" w:sz="0" w:space="0" w:color="auto"/>
        <w:left w:val="none" w:sz="0" w:space="0" w:color="auto"/>
        <w:bottom w:val="none" w:sz="0" w:space="0" w:color="auto"/>
        <w:right w:val="none" w:sz="0" w:space="0" w:color="auto"/>
      </w:divBdr>
    </w:div>
    <w:div w:id="179666746">
      <w:bodyDiv w:val="1"/>
      <w:marLeft w:val="0"/>
      <w:marRight w:val="0"/>
      <w:marTop w:val="0"/>
      <w:marBottom w:val="0"/>
      <w:divBdr>
        <w:top w:val="none" w:sz="0" w:space="0" w:color="auto"/>
        <w:left w:val="none" w:sz="0" w:space="0" w:color="auto"/>
        <w:bottom w:val="none" w:sz="0" w:space="0" w:color="auto"/>
        <w:right w:val="none" w:sz="0" w:space="0" w:color="auto"/>
      </w:divBdr>
      <w:divsChild>
        <w:div w:id="320891948">
          <w:marLeft w:val="480"/>
          <w:marRight w:val="0"/>
          <w:marTop w:val="0"/>
          <w:marBottom w:val="0"/>
          <w:divBdr>
            <w:top w:val="none" w:sz="0" w:space="0" w:color="auto"/>
            <w:left w:val="none" w:sz="0" w:space="0" w:color="auto"/>
            <w:bottom w:val="none" w:sz="0" w:space="0" w:color="auto"/>
            <w:right w:val="none" w:sz="0" w:space="0" w:color="auto"/>
          </w:divBdr>
          <w:divsChild>
            <w:div w:id="20921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8352">
      <w:bodyDiv w:val="1"/>
      <w:marLeft w:val="0"/>
      <w:marRight w:val="0"/>
      <w:marTop w:val="0"/>
      <w:marBottom w:val="0"/>
      <w:divBdr>
        <w:top w:val="none" w:sz="0" w:space="0" w:color="auto"/>
        <w:left w:val="none" w:sz="0" w:space="0" w:color="auto"/>
        <w:bottom w:val="none" w:sz="0" w:space="0" w:color="auto"/>
        <w:right w:val="none" w:sz="0" w:space="0" w:color="auto"/>
      </w:divBdr>
      <w:divsChild>
        <w:div w:id="441537058">
          <w:marLeft w:val="48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5686">
      <w:bodyDiv w:val="1"/>
      <w:marLeft w:val="0"/>
      <w:marRight w:val="0"/>
      <w:marTop w:val="0"/>
      <w:marBottom w:val="0"/>
      <w:divBdr>
        <w:top w:val="none" w:sz="0" w:space="0" w:color="auto"/>
        <w:left w:val="none" w:sz="0" w:space="0" w:color="auto"/>
        <w:bottom w:val="none" w:sz="0" w:space="0" w:color="auto"/>
        <w:right w:val="none" w:sz="0" w:space="0" w:color="auto"/>
      </w:divBdr>
    </w:div>
    <w:div w:id="277491421">
      <w:bodyDiv w:val="1"/>
      <w:marLeft w:val="0"/>
      <w:marRight w:val="0"/>
      <w:marTop w:val="0"/>
      <w:marBottom w:val="0"/>
      <w:divBdr>
        <w:top w:val="none" w:sz="0" w:space="0" w:color="auto"/>
        <w:left w:val="none" w:sz="0" w:space="0" w:color="auto"/>
        <w:bottom w:val="none" w:sz="0" w:space="0" w:color="auto"/>
        <w:right w:val="none" w:sz="0" w:space="0" w:color="auto"/>
      </w:divBdr>
      <w:divsChild>
        <w:div w:id="246500368">
          <w:marLeft w:val="480"/>
          <w:marRight w:val="0"/>
          <w:marTop w:val="0"/>
          <w:marBottom w:val="0"/>
          <w:divBdr>
            <w:top w:val="none" w:sz="0" w:space="0" w:color="auto"/>
            <w:left w:val="none" w:sz="0" w:space="0" w:color="auto"/>
            <w:bottom w:val="none" w:sz="0" w:space="0" w:color="auto"/>
            <w:right w:val="none" w:sz="0" w:space="0" w:color="auto"/>
          </w:divBdr>
          <w:divsChild>
            <w:div w:id="7264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61067">
      <w:bodyDiv w:val="1"/>
      <w:marLeft w:val="0"/>
      <w:marRight w:val="0"/>
      <w:marTop w:val="0"/>
      <w:marBottom w:val="0"/>
      <w:divBdr>
        <w:top w:val="none" w:sz="0" w:space="0" w:color="auto"/>
        <w:left w:val="none" w:sz="0" w:space="0" w:color="auto"/>
        <w:bottom w:val="none" w:sz="0" w:space="0" w:color="auto"/>
        <w:right w:val="none" w:sz="0" w:space="0" w:color="auto"/>
      </w:divBdr>
    </w:div>
    <w:div w:id="311833244">
      <w:bodyDiv w:val="1"/>
      <w:marLeft w:val="0"/>
      <w:marRight w:val="0"/>
      <w:marTop w:val="0"/>
      <w:marBottom w:val="0"/>
      <w:divBdr>
        <w:top w:val="none" w:sz="0" w:space="0" w:color="auto"/>
        <w:left w:val="none" w:sz="0" w:space="0" w:color="auto"/>
        <w:bottom w:val="none" w:sz="0" w:space="0" w:color="auto"/>
        <w:right w:val="none" w:sz="0" w:space="0" w:color="auto"/>
      </w:divBdr>
      <w:divsChild>
        <w:div w:id="1880506269">
          <w:marLeft w:val="480"/>
          <w:marRight w:val="0"/>
          <w:marTop w:val="0"/>
          <w:marBottom w:val="0"/>
          <w:divBdr>
            <w:top w:val="none" w:sz="0" w:space="0" w:color="auto"/>
            <w:left w:val="none" w:sz="0" w:space="0" w:color="auto"/>
            <w:bottom w:val="none" w:sz="0" w:space="0" w:color="auto"/>
            <w:right w:val="none" w:sz="0" w:space="0" w:color="auto"/>
          </w:divBdr>
          <w:divsChild>
            <w:div w:id="20696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48333">
      <w:bodyDiv w:val="1"/>
      <w:marLeft w:val="0"/>
      <w:marRight w:val="0"/>
      <w:marTop w:val="0"/>
      <w:marBottom w:val="0"/>
      <w:divBdr>
        <w:top w:val="none" w:sz="0" w:space="0" w:color="auto"/>
        <w:left w:val="none" w:sz="0" w:space="0" w:color="auto"/>
        <w:bottom w:val="none" w:sz="0" w:space="0" w:color="auto"/>
        <w:right w:val="none" w:sz="0" w:space="0" w:color="auto"/>
      </w:divBdr>
      <w:divsChild>
        <w:div w:id="858272001">
          <w:marLeft w:val="480"/>
          <w:marRight w:val="0"/>
          <w:marTop w:val="0"/>
          <w:marBottom w:val="0"/>
          <w:divBdr>
            <w:top w:val="none" w:sz="0" w:space="0" w:color="auto"/>
            <w:left w:val="none" w:sz="0" w:space="0" w:color="auto"/>
            <w:bottom w:val="none" w:sz="0" w:space="0" w:color="auto"/>
            <w:right w:val="none" w:sz="0" w:space="0" w:color="auto"/>
          </w:divBdr>
          <w:divsChild>
            <w:div w:id="4593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6957">
      <w:bodyDiv w:val="1"/>
      <w:marLeft w:val="0"/>
      <w:marRight w:val="0"/>
      <w:marTop w:val="0"/>
      <w:marBottom w:val="0"/>
      <w:divBdr>
        <w:top w:val="none" w:sz="0" w:space="0" w:color="auto"/>
        <w:left w:val="none" w:sz="0" w:space="0" w:color="auto"/>
        <w:bottom w:val="none" w:sz="0" w:space="0" w:color="auto"/>
        <w:right w:val="none" w:sz="0" w:space="0" w:color="auto"/>
      </w:divBdr>
      <w:divsChild>
        <w:div w:id="1133861785">
          <w:marLeft w:val="480"/>
          <w:marRight w:val="0"/>
          <w:marTop w:val="0"/>
          <w:marBottom w:val="0"/>
          <w:divBdr>
            <w:top w:val="none" w:sz="0" w:space="0" w:color="auto"/>
            <w:left w:val="none" w:sz="0" w:space="0" w:color="auto"/>
            <w:bottom w:val="none" w:sz="0" w:space="0" w:color="auto"/>
            <w:right w:val="none" w:sz="0" w:space="0" w:color="auto"/>
          </w:divBdr>
          <w:divsChild>
            <w:div w:id="656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2371">
      <w:bodyDiv w:val="1"/>
      <w:marLeft w:val="0"/>
      <w:marRight w:val="0"/>
      <w:marTop w:val="0"/>
      <w:marBottom w:val="0"/>
      <w:divBdr>
        <w:top w:val="none" w:sz="0" w:space="0" w:color="auto"/>
        <w:left w:val="none" w:sz="0" w:space="0" w:color="auto"/>
        <w:bottom w:val="none" w:sz="0" w:space="0" w:color="auto"/>
        <w:right w:val="none" w:sz="0" w:space="0" w:color="auto"/>
      </w:divBdr>
    </w:div>
    <w:div w:id="427510207">
      <w:bodyDiv w:val="1"/>
      <w:marLeft w:val="0"/>
      <w:marRight w:val="0"/>
      <w:marTop w:val="0"/>
      <w:marBottom w:val="0"/>
      <w:divBdr>
        <w:top w:val="none" w:sz="0" w:space="0" w:color="auto"/>
        <w:left w:val="none" w:sz="0" w:space="0" w:color="auto"/>
        <w:bottom w:val="none" w:sz="0" w:space="0" w:color="auto"/>
        <w:right w:val="none" w:sz="0" w:space="0" w:color="auto"/>
      </w:divBdr>
      <w:divsChild>
        <w:div w:id="1659267417">
          <w:marLeft w:val="480"/>
          <w:marRight w:val="0"/>
          <w:marTop w:val="0"/>
          <w:marBottom w:val="0"/>
          <w:divBdr>
            <w:top w:val="none" w:sz="0" w:space="0" w:color="auto"/>
            <w:left w:val="none" w:sz="0" w:space="0" w:color="auto"/>
            <w:bottom w:val="none" w:sz="0" w:space="0" w:color="auto"/>
            <w:right w:val="none" w:sz="0" w:space="0" w:color="auto"/>
          </w:divBdr>
          <w:divsChild>
            <w:div w:id="1266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5317">
      <w:bodyDiv w:val="1"/>
      <w:marLeft w:val="0"/>
      <w:marRight w:val="0"/>
      <w:marTop w:val="0"/>
      <w:marBottom w:val="0"/>
      <w:divBdr>
        <w:top w:val="none" w:sz="0" w:space="0" w:color="auto"/>
        <w:left w:val="none" w:sz="0" w:space="0" w:color="auto"/>
        <w:bottom w:val="none" w:sz="0" w:space="0" w:color="auto"/>
        <w:right w:val="none" w:sz="0" w:space="0" w:color="auto"/>
      </w:divBdr>
      <w:divsChild>
        <w:div w:id="2069305236">
          <w:marLeft w:val="480"/>
          <w:marRight w:val="0"/>
          <w:marTop w:val="0"/>
          <w:marBottom w:val="0"/>
          <w:divBdr>
            <w:top w:val="none" w:sz="0" w:space="0" w:color="auto"/>
            <w:left w:val="none" w:sz="0" w:space="0" w:color="auto"/>
            <w:bottom w:val="none" w:sz="0" w:space="0" w:color="auto"/>
            <w:right w:val="none" w:sz="0" w:space="0" w:color="auto"/>
          </w:divBdr>
          <w:divsChild>
            <w:div w:id="15294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0152">
      <w:bodyDiv w:val="1"/>
      <w:marLeft w:val="0"/>
      <w:marRight w:val="0"/>
      <w:marTop w:val="0"/>
      <w:marBottom w:val="0"/>
      <w:divBdr>
        <w:top w:val="none" w:sz="0" w:space="0" w:color="auto"/>
        <w:left w:val="none" w:sz="0" w:space="0" w:color="auto"/>
        <w:bottom w:val="none" w:sz="0" w:space="0" w:color="auto"/>
        <w:right w:val="none" w:sz="0" w:space="0" w:color="auto"/>
      </w:divBdr>
      <w:divsChild>
        <w:div w:id="1790851283">
          <w:marLeft w:val="480"/>
          <w:marRight w:val="0"/>
          <w:marTop w:val="0"/>
          <w:marBottom w:val="0"/>
          <w:divBdr>
            <w:top w:val="none" w:sz="0" w:space="0" w:color="auto"/>
            <w:left w:val="none" w:sz="0" w:space="0" w:color="auto"/>
            <w:bottom w:val="none" w:sz="0" w:space="0" w:color="auto"/>
            <w:right w:val="none" w:sz="0" w:space="0" w:color="auto"/>
          </w:divBdr>
          <w:divsChild>
            <w:div w:id="588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5275">
      <w:bodyDiv w:val="1"/>
      <w:marLeft w:val="0"/>
      <w:marRight w:val="0"/>
      <w:marTop w:val="0"/>
      <w:marBottom w:val="0"/>
      <w:divBdr>
        <w:top w:val="none" w:sz="0" w:space="0" w:color="auto"/>
        <w:left w:val="none" w:sz="0" w:space="0" w:color="auto"/>
        <w:bottom w:val="none" w:sz="0" w:space="0" w:color="auto"/>
        <w:right w:val="none" w:sz="0" w:space="0" w:color="auto"/>
      </w:divBdr>
    </w:div>
    <w:div w:id="551355184">
      <w:bodyDiv w:val="1"/>
      <w:marLeft w:val="0"/>
      <w:marRight w:val="0"/>
      <w:marTop w:val="0"/>
      <w:marBottom w:val="0"/>
      <w:divBdr>
        <w:top w:val="none" w:sz="0" w:space="0" w:color="auto"/>
        <w:left w:val="none" w:sz="0" w:space="0" w:color="auto"/>
        <w:bottom w:val="none" w:sz="0" w:space="0" w:color="auto"/>
        <w:right w:val="none" w:sz="0" w:space="0" w:color="auto"/>
      </w:divBdr>
      <w:divsChild>
        <w:div w:id="1508323913">
          <w:marLeft w:val="480"/>
          <w:marRight w:val="0"/>
          <w:marTop w:val="0"/>
          <w:marBottom w:val="0"/>
          <w:divBdr>
            <w:top w:val="none" w:sz="0" w:space="0" w:color="auto"/>
            <w:left w:val="none" w:sz="0" w:space="0" w:color="auto"/>
            <w:bottom w:val="none" w:sz="0" w:space="0" w:color="auto"/>
            <w:right w:val="none" w:sz="0" w:space="0" w:color="auto"/>
          </w:divBdr>
          <w:divsChild>
            <w:div w:id="58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18450">
      <w:bodyDiv w:val="1"/>
      <w:marLeft w:val="0"/>
      <w:marRight w:val="0"/>
      <w:marTop w:val="0"/>
      <w:marBottom w:val="0"/>
      <w:divBdr>
        <w:top w:val="none" w:sz="0" w:space="0" w:color="auto"/>
        <w:left w:val="none" w:sz="0" w:space="0" w:color="auto"/>
        <w:bottom w:val="none" w:sz="0" w:space="0" w:color="auto"/>
        <w:right w:val="none" w:sz="0" w:space="0" w:color="auto"/>
      </w:divBdr>
      <w:divsChild>
        <w:div w:id="279143986">
          <w:marLeft w:val="480"/>
          <w:marRight w:val="0"/>
          <w:marTop w:val="0"/>
          <w:marBottom w:val="0"/>
          <w:divBdr>
            <w:top w:val="none" w:sz="0" w:space="0" w:color="auto"/>
            <w:left w:val="none" w:sz="0" w:space="0" w:color="auto"/>
            <w:bottom w:val="none" w:sz="0" w:space="0" w:color="auto"/>
            <w:right w:val="none" w:sz="0" w:space="0" w:color="auto"/>
          </w:divBdr>
          <w:divsChild>
            <w:div w:id="16466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68193">
      <w:bodyDiv w:val="1"/>
      <w:marLeft w:val="0"/>
      <w:marRight w:val="0"/>
      <w:marTop w:val="0"/>
      <w:marBottom w:val="0"/>
      <w:divBdr>
        <w:top w:val="none" w:sz="0" w:space="0" w:color="auto"/>
        <w:left w:val="none" w:sz="0" w:space="0" w:color="auto"/>
        <w:bottom w:val="none" w:sz="0" w:space="0" w:color="auto"/>
        <w:right w:val="none" w:sz="0" w:space="0" w:color="auto"/>
      </w:divBdr>
      <w:divsChild>
        <w:div w:id="139152377">
          <w:marLeft w:val="480"/>
          <w:marRight w:val="0"/>
          <w:marTop w:val="0"/>
          <w:marBottom w:val="0"/>
          <w:divBdr>
            <w:top w:val="none" w:sz="0" w:space="0" w:color="auto"/>
            <w:left w:val="none" w:sz="0" w:space="0" w:color="auto"/>
            <w:bottom w:val="none" w:sz="0" w:space="0" w:color="auto"/>
            <w:right w:val="none" w:sz="0" w:space="0" w:color="auto"/>
          </w:divBdr>
          <w:divsChild>
            <w:div w:id="15563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999">
      <w:bodyDiv w:val="1"/>
      <w:marLeft w:val="0"/>
      <w:marRight w:val="0"/>
      <w:marTop w:val="0"/>
      <w:marBottom w:val="0"/>
      <w:divBdr>
        <w:top w:val="none" w:sz="0" w:space="0" w:color="auto"/>
        <w:left w:val="none" w:sz="0" w:space="0" w:color="auto"/>
        <w:bottom w:val="none" w:sz="0" w:space="0" w:color="auto"/>
        <w:right w:val="none" w:sz="0" w:space="0" w:color="auto"/>
      </w:divBdr>
    </w:div>
    <w:div w:id="722994310">
      <w:bodyDiv w:val="1"/>
      <w:marLeft w:val="0"/>
      <w:marRight w:val="0"/>
      <w:marTop w:val="0"/>
      <w:marBottom w:val="0"/>
      <w:divBdr>
        <w:top w:val="none" w:sz="0" w:space="0" w:color="auto"/>
        <w:left w:val="none" w:sz="0" w:space="0" w:color="auto"/>
        <w:bottom w:val="none" w:sz="0" w:space="0" w:color="auto"/>
        <w:right w:val="none" w:sz="0" w:space="0" w:color="auto"/>
      </w:divBdr>
    </w:div>
    <w:div w:id="748692440">
      <w:bodyDiv w:val="1"/>
      <w:marLeft w:val="0"/>
      <w:marRight w:val="0"/>
      <w:marTop w:val="0"/>
      <w:marBottom w:val="0"/>
      <w:divBdr>
        <w:top w:val="none" w:sz="0" w:space="0" w:color="auto"/>
        <w:left w:val="none" w:sz="0" w:space="0" w:color="auto"/>
        <w:bottom w:val="none" w:sz="0" w:space="0" w:color="auto"/>
        <w:right w:val="none" w:sz="0" w:space="0" w:color="auto"/>
      </w:divBdr>
    </w:div>
    <w:div w:id="836920450">
      <w:bodyDiv w:val="1"/>
      <w:marLeft w:val="0"/>
      <w:marRight w:val="0"/>
      <w:marTop w:val="0"/>
      <w:marBottom w:val="0"/>
      <w:divBdr>
        <w:top w:val="none" w:sz="0" w:space="0" w:color="auto"/>
        <w:left w:val="none" w:sz="0" w:space="0" w:color="auto"/>
        <w:bottom w:val="none" w:sz="0" w:space="0" w:color="auto"/>
        <w:right w:val="none" w:sz="0" w:space="0" w:color="auto"/>
      </w:divBdr>
      <w:divsChild>
        <w:div w:id="2000964451">
          <w:marLeft w:val="480"/>
          <w:marRight w:val="0"/>
          <w:marTop w:val="0"/>
          <w:marBottom w:val="0"/>
          <w:divBdr>
            <w:top w:val="none" w:sz="0" w:space="0" w:color="auto"/>
            <w:left w:val="none" w:sz="0" w:space="0" w:color="auto"/>
            <w:bottom w:val="none" w:sz="0" w:space="0" w:color="auto"/>
            <w:right w:val="none" w:sz="0" w:space="0" w:color="auto"/>
          </w:divBdr>
          <w:divsChild>
            <w:div w:id="14533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2007867">
      <w:bodyDiv w:val="1"/>
      <w:marLeft w:val="0"/>
      <w:marRight w:val="0"/>
      <w:marTop w:val="0"/>
      <w:marBottom w:val="0"/>
      <w:divBdr>
        <w:top w:val="none" w:sz="0" w:space="0" w:color="auto"/>
        <w:left w:val="none" w:sz="0" w:space="0" w:color="auto"/>
        <w:bottom w:val="none" w:sz="0" w:space="0" w:color="auto"/>
        <w:right w:val="none" w:sz="0" w:space="0" w:color="auto"/>
      </w:divBdr>
      <w:divsChild>
        <w:div w:id="342904805">
          <w:marLeft w:val="480"/>
          <w:marRight w:val="0"/>
          <w:marTop w:val="0"/>
          <w:marBottom w:val="0"/>
          <w:divBdr>
            <w:top w:val="none" w:sz="0" w:space="0" w:color="auto"/>
            <w:left w:val="none" w:sz="0" w:space="0" w:color="auto"/>
            <w:bottom w:val="none" w:sz="0" w:space="0" w:color="auto"/>
            <w:right w:val="none" w:sz="0" w:space="0" w:color="auto"/>
          </w:divBdr>
          <w:divsChild>
            <w:div w:id="5935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5260">
      <w:bodyDiv w:val="1"/>
      <w:marLeft w:val="0"/>
      <w:marRight w:val="0"/>
      <w:marTop w:val="0"/>
      <w:marBottom w:val="0"/>
      <w:divBdr>
        <w:top w:val="none" w:sz="0" w:space="0" w:color="auto"/>
        <w:left w:val="none" w:sz="0" w:space="0" w:color="auto"/>
        <w:bottom w:val="none" w:sz="0" w:space="0" w:color="auto"/>
        <w:right w:val="none" w:sz="0" w:space="0" w:color="auto"/>
      </w:divBdr>
      <w:divsChild>
        <w:div w:id="2139057908">
          <w:marLeft w:val="480"/>
          <w:marRight w:val="0"/>
          <w:marTop w:val="0"/>
          <w:marBottom w:val="0"/>
          <w:divBdr>
            <w:top w:val="none" w:sz="0" w:space="0" w:color="auto"/>
            <w:left w:val="none" w:sz="0" w:space="0" w:color="auto"/>
            <w:bottom w:val="none" w:sz="0" w:space="0" w:color="auto"/>
            <w:right w:val="none" w:sz="0" w:space="0" w:color="auto"/>
          </w:divBdr>
          <w:divsChild>
            <w:div w:id="14800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3998">
      <w:bodyDiv w:val="1"/>
      <w:marLeft w:val="0"/>
      <w:marRight w:val="0"/>
      <w:marTop w:val="0"/>
      <w:marBottom w:val="0"/>
      <w:divBdr>
        <w:top w:val="none" w:sz="0" w:space="0" w:color="auto"/>
        <w:left w:val="none" w:sz="0" w:space="0" w:color="auto"/>
        <w:bottom w:val="none" w:sz="0" w:space="0" w:color="auto"/>
        <w:right w:val="none" w:sz="0" w:space="0" w:color="auto"/>
      </w:divBdr>
      <w:divsChild>
        <w:div w:id="1524661442">
          <w:marLeft w:val="480"/>
          <w:marRight w:val="0"/>
          <w:marTop w:val="0"/>
          <w:marBottom w:val="0"/>
          <w:divBdr>
            <w:top w:val="none" w:sz="0" w:space="0" w:color="auto"/>
            <w:left w:val="none" w:sz="0" w:space="0" w:color="auto"/>
            <w:bottom w:val="none" w:sz="0" w:space="0" w:color="auto"/>
            <w:right w:val="none" w:sz="0" w:space="0" w:color="auto"/>
          </w:divBdr>
          <w:divsChild>
            <w:div w:id="6556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0592">
      <w:bodyDiv w:val="1"/>
      <w:marLeft w:val="0"/>
      <w:marRight w:val="0"/>
      <w:marTop w:val="0"/>
      <w:marBottom w:val="0"/>
      <w:divBdr>
        <w:top w:val="none" w:sz="0" w:space="0" w:color="auto"/>
        <w:left w:val="none" w:sz="0" w:space="0" w:color="auto"/>
        <w:bottom w:val="none" w:sz="0" w:space="0" w:color="auto"/>
        <w:right w:val="none" w:sz="0" w:space="0" w:color="auto"/>
      </w:divBdr>
      <w:divsChild>
        <w:div w:id="1966614622">
          <w:marLeft w:val="480"/>
          <w:marRight w:val="0"/>
          <w:marTop w:val="0"/>
          <w:marBottom w:val="0"/>
          <w:divBdr>
            <w:top w:val="none" w:sz="0" w:space="0" w:color="auto"/>
            <w:left w:val="none" w:sz="0" w:space="0" w:color="auto"/>
            <w:bottom w:val="none" w:sz="0" w:space="0" w:color="auto"/>
            <w:right w:val="none" w:sz="0" w:space="0" w:color="auto"/>
          </w:divBdr>
          <w:divsChild>
            <w:div w:id="102828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8108">
      <w:bodyDiv w:val="1"/>
      <w:marLeft w:val="0"/>
      <w:marRight w:val="0"/>
      <w:marTop w:val="0"/>
      <w:marBottom w:val="0"/>
      <w:divBdr>
        <w:top w:val="none" w:sz="0" w:space="0" w:color="auto"/>
        <w:left w:val="none" w:sz="0" w:space="0" w:color="auto"/>
        <w:bottom w:val="none" w:sz="0" w:space="0" w:color="auto"/>
        <w:right w:val="none" w:sz="0" w:space="0" w:color="auto"/>
      </w:divBdr>
      <w:divsChild>
        <w:div w:id="1169832262">
          <w:marLeft w:val="480"/>
          <w:marRight w:val="0"/>
          <w:marTop w:val="0"/>
          <w:marBottom w:val="0"/>
          <w:divBdr>
            <w:top w:val="none" w:sz="0" w:space="0" w:color="auto"/>
            <w:left w:val="none" w:sz="0" w:space="0" w:color="auto"/>
            <w:bottom w:val="none" w:sz="0" w:space="0" w:color="auto"/>
            <w:right w:val="none" w:sz="0" w:space="0" w:color="auto"/>
          </w:divBdr>
          <w:divsChild>
            <w:div w:id="215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6914">
      <w:bodyDiv w:val="1"/>
      <w:marLeft w:val="0"/>
      <w:marRight w:val="0"/>
      <w:marTop w:val="0"/>
      <w:marBottom w:val="0"/>
      <w:divBdr>
        <w:top w:val="none" w:sz="0" w:space="0" w:color="auto"/>
        <w:left w:val="none" w:sz="0" w:space="0" w:color="auto"/>
        <w:bottom w:val="none" w:sz="0" w:space="0" w:color="auto"/>
        <w:right w:val="none" w:sz="0" w:space="0" w:color="auto"/>
      </w:divBdr>
      <w:divsChild>
        <w:div w:id="391007846">
          <w:marLeft w:val="480"/>
          <w:marRight w:val="0"/>
          <w:marTop w:val="0"/>
          <w:marBottom w:val="0"/>
          <w:divBdr>
            <w:top w:val="none" w:sz="0" w:space="0" w:color="auto"/>
            <w:left w:val="none" w:sz="0" w:space="0" w:color="auto"/>
            <w:bottom w:val="none" w:sz="0" w:space="0" w:color="auto"/>
            <w:right w:val="none" w:sz="0" w:space="0" w:color="auto"/>
          </w:divBdr>
          <w:divsChild>
            <w:div w:id="20003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2650">
      <w:bodyDiv w:val="1"/>
      <w:marLeft w:val="0"/>
      <w:marRight w:val="0"/>
      <w:marTop w:val="0"/>
      <w:marBottom w:val="0"/>
      <w:divBdr>
        <w:top w:val="none" w:sz="0" w:space="0" w:color="auto"/>
        <w:left w:val="none" w:sz="0" w:space="0" w:color="auto"/>
        <w:bottom w:val="none" w:sz="0" w:space="0" w:color="auto"/>
        <w:right w:val="none" w:sz="0" w:space="0" w:color="auto"/>
      </w:divBdr>
      <w:divsChild>
        <w:div w:id="79064310">
          <w:marLeft w:val="480"/>
          <w:marRight w:val="0"/>
          <w:marTop w:val="0"/>
          <w:marBottom w:val="0"/>
          <w:divBdr>
            <w:top w:val="none" w:sz="0" w:space="0" w:color="auto"/>
            <w:left w:val="none" w:sz="0" w:space="0" w:color="auto"/>
            <w:bottom w:val="none" w:sz="0" w:space="0" w:color="auto"/>
            <w:right w:val="none" w:sz="0" w:space="0" w:color="auto"/>
          </w:divBdr>
          <w:divsChild>
            <w:div w:id="19408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4759">
      <w:bodyDiv w:val="1"/>
      <w:marLeft w:val="0"/>
      <w:marRight w:val="0"/>
      <w:marTop w:val="0"/>
      <w:marBottom w:val="0"/>
      <w:divBdr>
        <w:top w:val="none" w:sz="0" w:space="0" w:color="auto"/>
        <w:left w:val="none" w:sz="0" w:space="0" w:color="auto"/>
        <w:bottom w:val="none" w:sz="0" w:space="0" w:color="auto"/>
        <w:right w:val="none" w:sz="0" w:space="0" w:color="auto"/>
      </w:divBdr>
      <w:divsChild>
        <w:div w:id="2052998748">
          <w:marLeft w:val="480"/>
          <w:marRight w:val="0"/>
          <w:marTop w:val="0"/>
          <w:marBottom w:val="0"/>
          <w:divBdr>
            <w:top w:val="none" w:sz="0" w:space="0" w:color="auto"/>
            <w:left w:val="none" w:sz="0" w:space="0" w:color="auto"/>
            <w:bottom w:val="none" w:sz="0" w:space="0" w:color="auto"/>
            <w:right w:val="none" w:sz="0" w:space="0" w:color="auto"/>
          </w:divBdr>
          <w:divsChild>
            <w:div w:id="124387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83627">
      <w:bodyDiv w:val="1"/>
      <w:marLeft w:val="0"/>
      <w:marRight w:val="0"/>
      <w:marTop w:val="0"/>
      <w:marBottom w:val="0"/>
      <w:divBdr>
        <w:top w:val="none" w:sz="0" w:space="0" w:color="auto"/>
        <w:left w:val="none" w:sz="0" w:space="0" w:color="auto"/>
        <w:bottom w:val="none" w:sz="0" w:space="0" w:color="auto"/>
        <w:right w:val="none" w:sz="0" w:space="0" w:color="auto"/>
      </w:divBdr>
      <w:divsChild>
        <w:div w:id="2010256721">
          <w:marLeft w:val="480"/>
          <w:marRight w:val="0"/>
          <w:marTop w:val="0"/>
          <w:marBottom w:val="0"/>
          <w:divBdr>
            <w:top w:val="none" w:sz="0" w:space="0" w:color="auto"/>
            <w:left w:val="none" w:sz="0" w:space="0" w:color="auto"/>
            <w:bottom w:val="none" w:sz="0" w:space="0" w:color="auto"/>
            <w:right w:val="none" w:sz="0" w:space="0" w:color="auto"/>
          </w:divBdr>
          <w:divsChild>
            <w:div w:id="1804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5993">
      <w:bodyDiv w:val="1"/>
      <w:marLeft w:val="0"/>
      <w:marRight w:val="0"/>
      <w:marTop w:val="0"/>
      <w:marBottom w:val="0"/>
      <w:divBdr>
        <w:top w:val="none" w:sz="0" w:space="0" w:color="auto"/>
        <w:left w:val="none" w:sz="0" w:space="0" w:color="auto"/>
        <w:bottom w:val="none" w:sz="0" w:space="0" w:color="auto"/>
        <w:right w:val="none" w:sz="0" w:space="0" w:color="auto"/>
      </w:divBdr>
      <w:divsChild>
        <w:div w:id="1049918158">
          <w:marLeft w:val="480"/>
          <w:marRight w:val="0"/>
          <w:marTop w:val="0"/>
          <w:marBottom w:val="0"/>
          <w:divBdr>
            <w:top w:val="none" w:sz="0" w:space="0" w:color="auto"/>
            <w:left w:val="none" w:sz="0" w:space="0" w:color="auto"/>
            <w:bottom w:val="none" w:sz="0" w:space="0" w:color="auto"/>
            <w:right w:val="none" w:sz="0" w:space="0" w:color="auto"/>
          </w:divBdr>
          <w:divsChild>
            <w:div w:id="4969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658">
      <w:bodyDiv w:val="1"/>
      <w:marLeft w:val="0"/>
      <w:marRight w:val="0"/>
      <w:marTop w:val="0"/>
      <w:marBottom w:val="0"/>
      <w:divBdr>
        <w:top w:val="none" w:sz="0" w:space="0" w:color="auto"/>
        <w:left w:val="none" w:sz="0" w:space="0" w:color="auto"/>
        <w:bottom w:val="none" w:sz="0" w:space="0" w:color="auto"/>
        <w:right w:val="none" w:sz="0" w:space="0" w:color="auto"/>
      </w:divBdr>
      <w:divsChild>
        <w:div w:id="1466853312">
          <w:marLeft w:val="480"/>
          <w:marRight w:val="0"/>
          <w:marTop w:val="0"/>
          <w:marBottom w:val="0"/>
          <w:divBdr>
            <w:top w:val="none" w:sz="0" w:space="0" w:color="auto"/>
            <w:left w:val="none" w:sz="0" w:space="0" w:color="auto"/>
            <w:bottom w:val="none" w:sz="0" w:space="0" w:color="auto"/>
            <w:right w:val="none" w:sz="0" w:space="0" w:color="auto"/>
          </w:divBdr>
          <w:divsChild>
            <w:div w:id="21395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3050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77">
          <w:marLeft w:val="480"/>
          <w:marRight w:val="0"/>
          <w:marTop w:val="0"/>
          <w:marBottom w:val="0"/>
          <w:divBdr>
            <w:top w:val="none" w:sz="0" w:space="0" w:color="auto"/>
            <w:left w:val="none" w:sz="0" w:space="0" w:color="auto"/>
            <w:bottom w:val="none" w:sz="0" w:space="0" w:color="auto"/>
            <w:right w:val="none" w:sz="0" w:space="0" w:color="auto"/>
          </w:divBdr>
          <w:divsChild>
            <w:div w:id="1079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4802">
      <w:bodyDiv w:val="1"/>
      <w:marLeft w:val="0"/>
      <w:marRight w:val="0"/>
      <w:marTop w:val="0"/>
      <w:marBottom w:val="0"/>
      <w:divBdr>
        <w:top w:val="none" w:sz="0" w:space="0" w:color="auto"/>
        <w:left w:val="none" w:sz="0" w:space="0" w:color="auto"/>
        <w:bottom w:val="none" w:sz="0" w:space="0" w:color="auto"/>
        <w:right w:val="none" w:sz="0" w:space="0" w:color="auto"/>
      </w:divBdr>
      <w:divsChild>
        <w:div w:id="1241057510">
          <w:marLeft w:val="480"/>
          <w:marRight w:val="0"/>
          <w:marTop w:val="0"/>
          <w:marBottom w:val="0"/>
          <w:divBdr>
            <w:top w:val="none" w:sz="0" w:space="0" w:color="auto"/>
            <w:left w:val="none" w:sz="0" w:space="0" w:color="auto"/>
            <w:bottom w:val="none" w:sz="0" w:space="0" w:color="auto"/>
            <w:right w:val="none" w:sz="0" w:space="0" w:color="auto"/>
          </w:divBdr>
          <w:divsChild>
            <w:div w:id="3708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3542">
      <w:bodyDiv w:val="1"/>
      <w:marLeft w:val="0"/>
      <w:marRight w:val="0"/>
      <w:marTop w:val="0"/>
      <w:marBottom w:val="0"/>
      <w:divBdr>
        <w:top w:val="none" w:sz="0" w:space="0" w:color="auto"/>
        <w:left w:val="none" w:sz="0" w:space="0" w:color="auto"/>
        <w:bottom w:val="none" w:sz="0" w:space="0" w:color="auto"/>
        <w:right w:val="none" w:sz="0" w:space="0" w:color="auto"/>
      </w:divBdr>
      <w:divsChild>
        <w:div w:id="1020669404">
          <w:marLeft w:val="480"/>
          <w:marRight w:val="0"/>
          <w:marTop w:val="0"/>
          <w:marBottom w:val="0"/>
          <w:divBdr>
            <w:top w:val="none" w:sz="0" w:space="0" w:color="auto"/>
            <w:left w:val="none" w:sz="0" w:space="0" w:color="auto"/>
            <w:bottom w:val="none" w:sz="0" w:space="0" w:color="auto"/>
            <w:right w:val="none" w:sz="0" w:space="0" w:color="auto"/>
          </w:divBdr>
          <w:divsChild>
            <w:div w:id="7902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3785">
      <w:bodyDiv w:val="1"/>
      <w:marLeft w:val="0"/>
      <w:marRight w:val="0"/>
      <w:marTop w:val="0"/>
      <w:marBottom w:val="0"/>
      <w:divBdr>
        <w:top w:val="none" w:sz="0" w:space="0" w:color="auto"/>
        <w:left w:val="none" w:sz="0" w:space="0" w:color="auto"/>
        <w:bottom w:val="none" w:sz="0" w:space="0" w:color="auto"/>
        <w:right w:val="none" w:sz="0" w:space="0" w:color="auto"/>
      </w:divBdr>
      <w:divsChild>
        <w:div w:id="1570192031">
          <w:marLeft w:val="480"/>
          <w:marRight w:val="0"/>
          <w:marTop w:val="0"/>
          <w:marBottom w:val="0"/>
          <w:divBdr>
            <w:top w:val="none" w:sz="0" w:space="0" w:color="auto"/>
            <w:left w:val="none" w:sz="0" w:space="0" w:color="auto"/>
            <w:bottom w:val="none" w:sz="0" w:space="0" w:color="auto"/>
            <w:right w:val="none" w:sz="0" w:space="0" w:color="auto"/>
          </w:divBdr>
          <w:divsChild>
            <w:div w:id="19785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3769">
      <w:bodyDiv w:val="1"/>
      <w:marLeft w:val="0"/>
      <w:marRight w:val="0"/>
      <w:marTop w:val="0"/>
      <w:marBottom w:val="0"/>
      <w:divBdr>
        <w:top w:val="none" w:sz="0" w:space="0" w:color="auto"/>
        <w:left w:val="none" w:sz="0" w:space="0" w:color="auto"/>
        <w:bottom w:val="none" w:sz="0" w:space="0" w:color="auto"/>
        <w:right w:val="none" w:sz="0" w:space="0" w:color="auto"/>
      </w:divBdr>
      <w:divsChild>
        <w:div w:id="372465036">
          <w:marLeft w:val="480"/>
          <w:marRight w:val="0"/>
          <w:marTop w:val="0"/>
          <w:marBottom w:val="0"/>
          <w:divBdr>
            <w:top w:val="none" w:sz="0" w:space="0" w:color="auto"/>
            <w:left w:val="none" w:sz="0" w:space="0" w:color="auto"/>
            <w:bottom w:val="none" w:sz="0" w:space="0" w:color="auto"/>
            <w:right w:val="none" w:sz="0" w:space="0" w:color="auto"/>
          </w:divBdr>
          <w:divsChild>
            <w:div w:id="3537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7643">
      <w:bodyDiv w:val="1"/>
      <w:marLeft w:val="0"/>
      <w:marRight w:val="0"/>
      <w:marTop w:val="0"/>
      <w:marBottom w:val="0"/>
      <w:divBdr>
        <w:top w:val="none" w:sz="0" w:space="0" w:color="auto"/>
        <w:left w:val="none" w:sz="0" w:space="0" w:color="auto"/>
        <w:bottom w:val="none" w:sz="0" w:space="0" w:color="auto"/>
        <w:right w:val="none" w:sz="0" w:space="0" w:color="auto"/>
      </w:divBdr>
    </w:div>
    <w:div w:id="1986857768">
      <w:bodyDiv w:val="1"/>
      <w:marLeft w:val="0"/>
      <w:marRight w:val="0"/>
      <w:marTop w:val="0"/>
      <w:marBottom w:val="0"/>
      <w:divBdr>
        <w:top w:val="none" w:sz="0" w:space="0" w:color="auto"/>
        <w:left w:val="none" w:sz="0" w:space="0" w:color="auto"/>
        <w:bottom w:val="none" w:sz="0" w:space="0" w:color="auto"/>
        <w:right w:val="none" w:sz="0" w:space="0" w:color="auto"/>
      </w:divBdr>
    </w:div>
    <w:div w:id="20410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books/NBK236544/" TargetMode="External"/><Relationship Id="rId13" Type="http://schemas.openxmlformats.org/officeDocument/2006/relationships/hyperlink" Target="https://doi.org/10.1016/j.conctc.2015.12.011" TargetMode="External"/><Relationship Id="rId3" Type="http://schemas.openxmlformats.org/officeDocument/2006/relationships/hyperlink" Target="https://doi.org/10.1080/15265160601111800" TargetMode="External"/><Relationship Id="rId7" Type="http://schemas.openxmlformats.org/officeDocument/2006/relationships/hyperlink" Target="https://doi.org/10.1056/NEJMp0801872" TargetMode="External"/><Relationship Id="rId12" Type="http://schemas.openxmlformats.org/officeDocument/2006/relationships/hyperlink" Target="https://doi.org/10.1111/eci.12638" TargetMode="External"/><Relationship Id="rId2" Type="http://schemas.openxmlformats.org/officeDocument/2006/relationships/hyperlink" Target="https://doi.org/10.1080/15265160500244959" TargetMode="External"/><Relationship Id="rId1" Type="http://schemas.openxmlformats.org/officeDocument/2006/relationships/hyperlink" Target="https://doi.org/10.1080/03605310490883046" TargetMode="External"/><Relationship Id="rId6" Type="http://schemas.openxmlformats.org/officeDocument/2006/relationships/hyperlink" Target="https://doi.org/10.1037/14805-031" TargetMode="External"/><Relationship Id="rId11" Type="http://schemas.openxmlformats.org/officeDocument/2006/relationships/hyperlink" Target="https://doi.org/10.1016/j.fertnstert.2016.09.040" TargetMode="External"/><Relationship Id="rId5" Type="http://schemas.openxmlformats.org/officeDocument/2006/relationships/hyperlink" Target="https://doi.org/10.1016/j.cct.2010.12.003" TargetMode="External"/><Relationship Id="rId15" Type="http://schemas.openxmlformats.org/officeDocument/2006/relationships/hyperlink" Target="https://doi.org/10.5430/jha.v9n2p14" TargetMode="External"/><Relationship Id="rId10" Type="http://schemas.openxmlformats.org/officeDocument/2006/relationships/hyperlink" Target="https://doi.org/10.4103/2229-3485.106394" TargetMode="External"/><Relationship Id="rId4" Type="http://schemas.openxmlformats.org/officeDocument/2006/relationships/hyperlink" Target="https://doi.org/10.1093/medlaw/fwm020" TargetMode="External"/><Relationship Id="rId9" Type="http://schemas.openxmlformats.org/officeDocument/2006/relationships/hyperlink" Target="https://doi.org/10.1016/j.surg.2017.01.031" TargetMode="External"/><Relationship Id="rId14" Type="http://schemas.openxmlformats.org/officeDocument/2006/relationships/hyperlink" Target="https://doi.org/10.1080/10508422.2018.1535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A310FBC-3383-BB4C-A61A-4C4FAD8F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8921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Microsoft Office User</dc:creator>
  <cp:keywords/>
  <dc:description/>
  <cp:lastModifiedBy>Anne Zimmerman</cp:lastModifiedBy>
  <cp:revision>2</cp:revision>
  <cp:lastPrinted>2011-07-22T14:54:00Z</cp:lastPrinted>
  <dcterms:created xsi:type="dcterms:W3CDTF">2020-07-17T00:50:00Z</dcterms:created>
  <dcterms:modified xsi:type="dcterms:W3CDTF">2020-07-17T00:50:00Z</dcterms:modified>
  <cp:category/>
</cp:coreProperties>
</file>