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32D2" w14:textId="3594CAA5" w:rsidR="005D72B9" w:rsidRDefault="001B254F">
      <w:pPr>
        <w:widowControl w:val="0"/>
        <w:pBdr>
          <w:top w:val="nil"/>
          <w:left w:val="nil"/>
          <w:bottom w:val="nil"/>
          <w:right w:val="nil"/>
          <w:between w:val="nil"/>
        </w:pBdr>
        <w:rPr>
          <w:b/>
          <w:color w:val="231F20"/>
          <w:sz w:val="20"/>
          <w:szCs w:val="20"/>
        </w:rPr>
      </w:pPr>
      <w:r>
        <w:rPr>
          <w:noProof/>
        </w:rPr>
        <w:drawing>
          <wp:anchor distT="0" distB="0" distL="114300" distR="114300" simplePos="0" relativeHeight="251656192" behindDoc="0" locked="0" layoutInCell="1" hidden="0" allowOverlap="1" wp14:anchorId="0A920B93" wp14:editId="09BCE714">
            <wp:simplePos x="0" y="0"/>
            <wp:positionH relativeFrom="column">
              <wp:posOffset>-355600</wp:posOffset>
            </wp:positionH>
            <wp:positionV relativeFrom="paragraph">
              <wp:posOffset>3776980</wp:posOffset>
            </wp:positionV>
            <wp:extent cx="6188075" cy="3657600"/>
            <wp:effectExtent l="0" t="0" r="3175" b="0"/>
            <wp:wrapSquare wrapText="bothSides" distT="0" distB="0" distL="114300" distR="114300"/>
            <wp:docPr id="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188075" cy="3657600"/>
                    </a:xfrm>
                    <a:prstGeom prst="rect">
                      <a:avLst/>
                    </a:prstGeom>
                    <a:ln/>
                  </pic:spPr>
                </pic:pic>
              </a:graphicData>
            </a:graphic>
            <wp14:sizeRelV relativeFrom="margin">
              <wp14:pctHeight>0</wp14:pctHeight>
            </wp14:sizeRelV>
          </wp:anchor>
        </w:drawing>
      </w:r>
      <w:r w:rsidR="00E63A46">
        <w:rPr>
          <w:noProof/>
        </w:rPr>
        <mc:AlternateContent>
          <mc:Choice Requires="wps">
            <w:drawing>
              <wp:anchor distT="0" distB="0" distL="114300" distR="114300" simplePos="0" relativeHeight="251658240" behindDoc="0" locked="0" layoutInCell="1" allowOverlap="1" wp14:anchorId="6B894AEA" wp14:editId="3EDBF5B3">
                <wp:simplePos x="0" y="0"/>
                <wp:positionH relativeFrom="column">
                  <wp:posOffset>-393700</wp:posOffset>
                </wp:positionH>
                <wp:positionV relativeFrom="paragraph">
                  <wp:posOffset>3194050</wp:posOffset>
                </wp:positionV>
                <wp:extent cx="6330950" cy="108585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108585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25660" w14:textId="437C0CD6" w:rsidR="005D72B9" w:rsidRPr="009B78EC" w:rsidRDefault="00270158">
                            <w:pPr>
                              <w:spacing w:line="275" w:lineRule="auto"/>
                              <w:textDirection w:val="btLr"/>
                              <w:rPr>
                                <w:rFonts w:ascii="Garamond" w:eastAsia="Garamond" w:hAnsi="Garamond" w:cs="Garamond"/>
                                <w:b/>
                                <w:bCs/>
                                <w:color w:val="000000"/>
                                <w:sz w:val="26"/>
                                <w:vertAlign w:val="superscript"/>
                              </w:rPr>
                            </w:pPr>
                            <w:r>
                              <w:rPr>
                                <w:rFonts w:ascii="Garamond" w:eastAsia="Garamond" w:hAnsi="Garamond" w:cs="Garamond"/>
                                <w:b/>
                                <w:bCs/>
                                <w:color w:val="000000"/>
                                <w:sz w:val="26"/>
                              </w:rPr>
                              <w:t>Cora Cunningham</w:t>
                            </w:r>
                            <w:r w:rsidR="00306140">
                              <w:rPr>
                                <w:rFonts w:ascii="Garamond" w:eastAsia="Garamond" w:hAnsi="Garamond" w:cs="Garamond"/>
                                <w:color w:val="000000"/>
                                <w:sz w:val="26"/>
                                <w:vertAlign w:val="superscript"/>
                              </w:rPr>
                              <w:t>1</w:t>
                            </w:r>
                            <w:r w:rsidR="00D666E3">
                              <w:rPr>
                                <w:rFonts w:ascii="Garamond" w:eastAsia="Garamond" w:hAnsi="Garamond" w:cs="Garamond"/>
                                <w:b/>
                                <w:bCs/>
                                <w:color w:val="000000"/>
                                <w:sz w:val="26"/>
                              </w:rPr>
                              <w:t>, Daniel Nguyen</w:t>
                            </w:r>
                            <w:r w:rsidR="00D666E3">
                              <w:rPr>
                                <w:rFonts w:ascii="Garamond" w:eastAsia="Garamond" w:hAnsi="Garamond" w:cs="Garamond"/>
                                <w:color w:val="000000"/>
                                <w:sz w:val="26"/>
                                <w:vertAlign w:val="superscript"/>
                              </w:rPr>
                              <w:t>2</w:t>
                            </w:r>
                            <w:r w:rsidR="00D666E3">
                              <w:rPr>
                                <w:rFonts w:ascii="Garamond" w:eastAsia="Garamond" w:hAnsi="Garamond" w:cs="Garamond"/>
                                <w:b/>
                                <w:bCs/>
                                <w:color w:val="000000"/>
                                <w:sz w:val="26"/>
                              </w:rPr>
                              <w:t>, Ellie Whang</w:t>
                            </w:r>
                            <w:r w:rsidR="00D666E3">
                              <w:rPr>
                                <w:rFonts w:ascii="Garamond" w:eastAsia="Garamond" w:hAnsi="Garamond" w:cs="Garamond"/>
                                <w:color w:val="000000"/>
                                <w:sz w:val="26"/>
                                <w:vertAlign w:val="superscript"/>
                              </w:rPr>
                              <w:t>3</w:t>
                            </w:r>
                            <w:r w:rsidR="00D666E3">
                              <w:rPr>
                                <w:rFonts w:ascii="Garamond" w:eastAsia="Garamond" w:hAnsi="Garamond" w:cs="Garamond"/>
                                <w:b/>
                                <w:bCs/>
                                <w:color w:val="000000"/>
                                <w:sz w:val="26"/>
                              </w:rPr>
                              <w:t>, Katherine Carrillo</w:t>
                            </w:r>
                            <w:r w:rsidR="00D666E3">
                              <w:rPr>
                                <w:rFonts w:ascii="Garamond" w:eastAsia="Garamond" w:hAnsi="Garamond" w:cs="Garamond"/>
                                <w:color w:val="000000"/>
                                <w:sz w:val="26"/>
                                <w:vertAlign w:val="superscript"/>
                              </w:rPr>
                              <w:t>4</w:t>
                            </w:r>
                          </w:p>
                          <w:p w14:paraId="10C85B9F" w14:textId="77777777" w:rsidR="005D72B9" w:rsidRDefault="005D72B9">
                            <w:pPr>
                              <w:spacing w:line="275" w:lineRule="auto"/>
                              <w:textDirection w:val="btLr"/>
                            </w:pPr>
                          </w:p>
                          <w:p w14:paraId="365A9117" w14:textId="22A4407C" w:rsidR="008253D1" w:rsidRPr="00270158" w:rsidRDefault="00306140">
                            <w:pPr>
                              <w:spacing w:line="275" w:lineRule="auto"/>
                              <w:textDirection w:val="btLr"/>
                              <w:rPr>
                                <w:rFonts w:ascii="Garamond" w:eastAsia="Garamond" w:hAnsi="Garamond" w:cs="Garamond"/>
                                <w:color w:val="000000" w:themeColor="text1"/>
                                <w:sz w:val="16"/>
                                <w:vertAlign w:val="superscript"/>
                              </w:rPr>
                            </w:pPr>
                            <w:r w:rsidRPr="00D666E3">
                              <w:rPr>
                                <w:rFonts w:ascii="Garamond" w:eastAsia="Garamond" w:hAnsi="Garamond" w:cs="Garamond"/>
                                <w:color w:val="000000" w:themeColor="text1"/>
                                <w:sz w:val="16"/>
                                <w:vertAlign w:val="superscript"/>
                              </w:rPr>
                              <w:t>1</w:t>
                            </w:r>
                            <w:r w:rsidR="00D666E3" w:rsidRPr="00D666E3">
                              <w:rPr>
                                <w:rFonts w:ascii="Garamond" w:eastAsia="Garamond" w:hAnsi="Garamond" w:cs="Garamond"/>
                                <w:color w:val="000000" w:themeColor="text1"/>
                                <w:sz w:val="16"/>
                              </w:rPr>
                              <w:t>Tu</w:t>
                            </w:r>
                            <w:r w:rsidR="00D666E3">
                              <w:rPr>
                                <w:rFonts w:ascii="Garamond" w:eastAsia="Garamond" w:hAnsi="Garamond" w:cs="Garamond"/>
                                <w:color w:val="000000" w:themeColor="text1"/>
                                <w:sz w:val="16"/>
                              </w:rPr>
                              <w:t>fts University A ’24, BS Biopsychology, Community Health</w:t>
                            </w:r>
                            <w:r w:rsidR="008253D1" w:rsidRPr="00270158">
                              <w:rPr>
                                <w:rFonts w:ascii="Garamond" w:eastAsia="Garamond" w:hAnsi="Garamond" w:cs="Garamond"/>
                                <w:color w:val="000000" w:themeColor="text1"/>
                                <w:sz w:val="16"/>
                                <w:vertAlign w:val="superscript"/>
                              </w:rPr>
                              <w:t xml:space="preserve"> </w:t>
                            </w:r>
                          </w:p>
                          <w:p w14:paraId="54B2579C" w14:textId="026CFB81" w:rsidR="00D60601" w:rsidRDefault="00D666E3">
                            <w:pPr>
                              <w:spacing w:line="275" w:lineRule="auto"/>
                              <w:textDirection w:val="btLr"/>
                              <w:rPr>
                                <w:rFonts w:ascii="Garamond" w:eastAsia="Garamond" w:hAnsi="Garamond" w:cs="Garamond"/>
                                <w:color w:val="000000" w:themeColor="text1"/>
                                <w:sz w:val="16"/>
                              </w:rPr>
                            </w:pPr>
                            <w:r>
                              <w:rPr>
                                <w:rFonts w:ascii="Garamond" w:eastAsia="Garamond" w:hAnsi="Garamond" w:cs="Garamond"/>
                                <w:color w:val="000000" w:themeColor="text1"/>
                                <w:sz w:val="16"/>
                                <w:vertAlign w:val="superscript"/>
                              </w:rPr>
                              <w:t>2</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Biology, Community Health, International Relations</w:t>
                            </w:r>
                          </w:p>
                          <w:p w14:paraId="5856B14A" w14:textId="5EEAF6E4" w:rsidR="00D666E3" w:rsidRDefault="00D666E3">
                            <w:pPr>
                              <w:spacing w:line="275" w:lineRule="auto"/>
                              <w:textDirection w:val="btLr"/>
                              <w:rPr>
                                <w:rFonts w:ascii="Garamond" w:eastAsia="Garamond" w:hAnsi="Garamond" w:cs="Garamond"/>
                                <w:color w:val="000000" w:themeColor="text1"/>
                                <w:sz w:val="16"/>
                              </w:rPr>
                            </w:pPr>
                            <w:r>
                              <w:rPr>
                                <w:rFonts w:ascii="Garamond" w:eastAsia="Garamond" w:hAnsi="Garamond" w:cs="Garamond"/>
                                <w:color w:val="000000" w:themeColor="text1"/>
                                <w:sz w:val="16"/>
                                <w:vertAlign w:val="superscript"/>
                              </w:rPr>
                              <w:t>3</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Psychology, Community Health</w:t>
                            </w:r>
                          </w:p>
                          <w:p w14:paraId="1961AC9A" w14:textId="3B9C7AEC" w:rsidR="00D666E3" w:rsidRDefault="00D666E3">
                            <w:pPr>
                              <w:spacing w:line="275" w:lineRule="auto"/>
                              <w:textDirection w:val="btLr"/>
                            </w:pPr>
                            <w:r>
                              <w:rPr>
                                <w:rFonts w:ascii="Garamond" w:eastAsia="Garamond" w:hAnsi="Garamond" w:cs="Garamond"/>
                                <w:color w:val="000000" w:themeColor="text1"/>
                                <w:sz w:val="16"/>
                                <w:vertAlign w:val="superscript"/>
                              </w:rPr>
                              <w:t>4</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Biology, Community Health</w:t>
                            </w: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B894AEA" id="Rectangle 9" o:spid="_x0000_s1026" style="position:absolute;margin-left:-31pt;margin-top:251.5pt;width:498.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" fillcolor="white [3201]" stroked="f">
                <v:textbox inset="2.53958mm,1.2694mm,2.53958mm,1.2694mm">
                  <w:txbxContent>
                    <w:p w14:paraId="2B525660" w14:textId="437C0CD6" w:rsidR="005D72B9" w:rsidRPr="009B78EC" w:rsidRDefault="00270158">
                      <w:pPr>
                        <w:spacing w:line="275" w:lineRule="auto"/>
                        <w:textDirection w:val="btLr"/>
                        <w:rPr>
                          <w:rFonts w:ascii="Garamond" w:eastAsia="Garamond" w:hAnsi="Garamond" w:cs="Garamond"/>
                          <w:b/>
                          <w:bCs/>
                          <w:color w:val="000000"/>
                          <w:sz w:val="26"/>
                          <w:vertAlign w:val="superscript"/>
                        </w:rPr>
                      </w:pPr>
                      <w:r>
                        <w:rPr>
                          <w:rFonts w:ascii="Garamond" w:eastAsia="Garamond" w:hAnsi="Garamond" w:cs="Garamond"/>
                          <w:b/>
                          <w:bCs/>
                          <w:color w:val="000000"/>
                          <w:sz w:val="26"/>
                        </w:rPr>
                        <w:t>Cora Cunningham</w:t>
                      </w:r>
                      <w:r w:rsidR="00306140">
                        <w:rPr>
                          <w:rFonts w:ascii="Garamond" w:eastAsia="Garamond" w:hAnsi="Garamond" w:cs="Garamond"/>
                          <w:color w:val="000000"/>
                          <w:sz w:val="26"/>
                          <w:vertAlign w:val="superscript"/>
                        </w:rPr>
                        <w:t>1</w:t>
                      </w:r>
                      <w:r w:rsidR="00D666E3">
                        <w:rPr>
                          <w:rFonts w:ascii="Garamond" w:eastAsia="Garamond" w:hAnsi="Garamond" w:cs="Garamond"/>
                          <w:b/>
                          <w:bCs/>
                          <w:color w:val="000000"/>
                          <w:sz w:val="26"/>
                        </w:rPr>
                        <w:t>, Daniel Nguyen</w:t>
                      </w:r>
                      <w:r w:rsidR="00D666E3">
                        <w:rPr>
                          <w:rFonts w:ascii="Garamond" w:eastAsia="Garamond" w:hAnsi="Garamond" w:cs="Garamond"/>
                          <w:color w:val="000000"/>
                          <w:sz w:val="26"/>
                          <w:vertAlign w:val="superscript"/>
                        </w:rPr>
                        <w:t>2</w:t>
                      </w:r>
                      <w:r w:rsidR="00D666E3">
                        <w:rPr>
                          <w:rFonts w:ascii="Garamond" w:eastAsia="Garamond" w:hAnsi="Garamond" w:cs="Garamond"/>
                          <w:b/>
                          <w:bCs/>
                          <w:color w:val="000000"/>
                          <w:sz w:val="26"/>
                        </w:rPr>
                        <w:t>, Ellie Whang</w:t>
                      </w:r>
                      <w:r w:rsidR="00D666E3">
                        <w:rPr>
                          <w:rFonts w:ascii="Garamond" w:eastAsia="Garamond" w:hAnsi="Garamond" w:cs="Garamond"/>
                          <w:color w:val="000000"/>
                          <w:sz w:val="26"/>
                          <w:vertAlign w:val="superscript"/>
                        </w:rPr>
                        <w:t>3</w:t>
                      </w:r>
                      <w:r w:rsidR="00D666E3">
                        <w:rPr>
                          <w:rFonts w:ascii="Garamond" w:eastAsia="Garamond" w:hAnsi="Garamond" w:cs="Garamond"/>
                          <w:b/>
                          <w:bCs/>
                          <w:color w:val="000000"/>
                          <w:sz w:val="26"/>
                        </w:rPr>
                        <w:t>, Katherine Carrillo</w:t>
                      </w:r>
                      <w:r w:rsidR="00D666E3">
                        <w:rPr>
                          <w:rFonts w:ascii="Garamond" w:eastAsia="Garamond" w:hAnsi="Garamond" w:cs="Garamond"/>
                          <w:color w:val="000000"/>
                          <w:sz w:val="26"/>
                          <w:vertAlign w:val="superscript"/>
                        </w:rPr>
                        <w:t>4</w:t>
                      </w:r>
                    </w:p>
                    <w:p w14:paraId="10C85B9F" w14:textId="77777777" w:rsidR="005D72B9" w:rsidRDefault="005D72B9">
                      <w:pPr>
                        <w:spacing w:line="275" w:lineRule="auto"/>
                        <w:textDirection w:val="btLr"/>
                      </w:pPr>
                    </w:p>
                    <w:p w14:paraId="365A9117" w14:textId="22A4407C" w:rsidR="008253D1" w:rsidRPr="00270158" w:rsidRDefault="00306140">
                      <w:pPr>
                        <w:spacing w:line="275" w:lineRule="auto"/>
                        <w:textDirection w:val="btLr"/>
                        <w:rPr>
                          <w:rFonts w:ascii="Garamond" w:eastAsia="Garamond" w:hAnsi="Garamond" w:cs="Garamond"/>
                          <w:color w:val="000000" w:themeColor="text1"/>
                          <w:sz w:val="16"/>
                          <w:vertAlign w:val="superscript"/>
                        </w:rPr>
                      </w:pPr>
                      <w:r w:rsidRPr="00D666E3">
                        <w:rPr>
                          <w:rFonts w:ascii="Garamond" w:eastAsia="Garamond" w:hAnsi="Garamond" w:cs="Garamond"/>
                          <w:color w:val="000000" w:themeColor="text1"/>
                          <w:sz w:val="16"/>
                          <w:vertAlign w:val="superscript"/>
                        </w:rPr>
                        <w:t>1</w:t>
                      </w:r>
                      <w:r w:rsidR="00D666E3" w:rsidRPr="00D666E3">
                        <w:rPr>
                          <w:rFonts w:ascii="Garamond" w:eastAsia="Garamond" w:hAnsi="Garamond" w:cs="Garamond"/>
                          <w:color w:val="000000" w:themeColor="text1"/>
                          <w:sz w:val="16"/>
                        </w:rPr>
                        <w:t>Tu</w:t>
                      </w:r>
                      <w:r w:rsidR="00D666E3">
                        <w:rPr>
                          <w:rFonts w:ascii="Garamond" w:eastAsia="Garamond" w:hAnsi="Garamond" w:cs="Garamond"/>
                          <w:color w:val="000000" w:themeColor="text1"/>
                          <w:sz w:val="16"/>
                        </w:rPr>
                        <w:t>fts University A ’24, BS Biopsychology, Community Health</w:t>
                      </w:r>
                      <w:r w:rsidR="008253D1" w:rsidRPr="00270158">
                        <w:rPr>
                          <w:rFonts w:ascii="Garamond" w:eastAsia="Garamond" w:hAnsi="Garamond" w:cs="Garamond"/>
                          <w:color w:val="000000" w:themeColor="text1"/>
                          <w:sz w:val="16"/>
                          <w:vertAlign w:val="superscript"/>
                        </w:rPr>
                        <w:t xml:space="preserve"> </w:t>
                      </w:r>
                    </w:p>
                    <w:p w14:paraId="54B2579C" w14:textId="026CFB81" w:rsidR="00D60601" w:rsidRDefault="00D666E3">
                      <w:pPr>
                        <w:spacing w:line="275" w:lineRule="auto"/>
                        <w:textDirection w:val="btLr"/>
                        <w:rPr>
                          <w:rFonts w:ascii="Garamond" w:eastAsia="Garamond" w:hAnsi="Garamond" w:cs="Garamond"/>
                          <w:color w:val="000000" w:themeColor="text1"/>
                          <w:sz w:val="16"/>
                        </w:rPr>
                      </w:pPr>
                      <w:r>
                        <w:rPr>
                          <w:rFonts w:ascii="Garamond" w:eastAsia="Garamond" w:hAnsi="Garamond" w:cs="Garamond"/>
                          <w:color w:val="000000" w:themeColor="text1"/>
                          <w:sz w:val="16"/>
                          <w:vertAlign w:val="superscript"/>
                        </w:rPr>
                        <w:t>2</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Biology, Community Health, International Relations</w:t>
                      </w:r>
                    </w:p>
                    <w:p w14:paraId="5856B14A" w14:textId="5EEAF6E4" w:rsidR="00D666E3" w:rsidRDefault="00D666E3">
                      <w:pPr>
                        <w:spacing w:line="275" w:lineRule="auto"/>
                        <w:textDirection w:val="btLr"/>
                        <w:rPr>
                          <w:rFonts w:ascii="Garamond" w:eastAsia="Garamond" w:hAnsi="Garamond" w:cs="Garamond"/>
                          <w:color w:val="000000" w:themeColor="text1"/>
                          <w:sz w:val="16"/>
                        </w:rPr>
                      </w:pPr>
                      <w:r>
                        <w:rPr>
                          <w:rFonts w:ascii="Garamond" w:eastAsia="Garamond" w:hAnsi="Garamond" w:cs="Garamond"/>
                          <w:color w:val="000000" w:themeColor="text1"/>
                          <w:sz w:val="16"/>
                          <w:vertAlign w:val="superscript"/>
                        </w:rPr>
                        <w:t>3</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Psychology, Community Health</w:t>
                      </w:r>
                    </w:p>
                    <w:p w14:paraId="1961AC9A" w14:textId="3B9C7AEC" w:rsidR="00D666E3" w:rsidRDefault="00D666E3">
                      <w:pPr>
                        <w:spacing w:line="275" w:lineRule="auto"/>
                        <w:textDirection w:val="btLr"/>
                      </w:pPr>
                      <w:r>
                        <w:rPr>
                          <w:rFonts w:ascii="Garamond" w:eastAsia="Garamond" w:hAnsi="Garamond" w:cs="Garamond"/>
                          <w:color w:val="000000" w:themeColor="text1"/>
                          <w:sz w:val="16"/>
                          <w:vertAlign w:val="superscript"/>
                        </w:rPr>
                        <w:t>4</w:t>
                      </w:r>
                      <w:r w:rsidRPr="00D666E3">
                        <w:rPr>
                          <w:rFonts w:ascii="Garamond" w:eastAsia="Garamond" w:hAnsi="Garamond" w:cs="Garamond"/>
                          <w:color w:val="000000" w:themeColor="text1"/>
                          <w:sz w:val="16"/>
                        </w:rPr>
                        <w:t>Tu</w:t>
                      </w:r>
                      <w:r>
                        <w:rPr>
                          <w:rFonts w:ascii="Garamond" w:eastAsia="Garamond" w:hAnsi="Garamond" w:cs="Garamond"/>
                          <w:color w:val="000000" w:themeColor="text1"/>
                          <w:sz w:val="16"/>
                        </w:rPr>
                        <w:t>fts University A ’24, BS Biology, Community Health</w:t>
                      </w:r>
                    </w:p>
                  </w:txbxContent>
                </v:textbox>
                <w10:wrap type="topAndBottom"/>
              </v:rect>
            </w:pict>
          </mc:Fallback>
        </mc:AlternateContent>
      </w:r>
      <w:r w:rsidR="00461CE1">
        <w:rPr>
          <w:noProof/>
        </w:rPr>
        <mc:AlternateContent>
          <mc:Choice Requires="wps">
            <w:drawing>
              <wp:anchor distT="0" distB="0" distL="114300" distR="114300" simplePos="0" relativeHeight="251662336" behindDoc="0" locked="0" layoutInCell="1" allowOverlap="1" wp14:anchorId="7B1AE5B2" wp14:editId="3665AA63">
                <wp:simplePos x="0" y="0"/>
                <wp:positionH relativeFrom="column">
                  <wp:posOffset>-291465</wp:posOffset>
                </wp:positionH>
                <wp:positionV relativeFrom="paragraph">
                  <wp:posOffset>4322445</wp:posOffset>
                </wp:positionV>
                <wp:extent cx="5999480" cy="303530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9480" cy="303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1312" w14:textId="788870E0" w:rsidR="005D72B9" w:rsidRPr="007334E3" w:rsidRDefault="00306140">
                            <w:pPr>
                              <w:spacing w:line="240" w:lineRule="auto"/>
                              <w:jc w:val="both"/>
                              <w:textDirection w:val="btLr"/>
                              <w:rPr>
                                <w:rFonts w:ascii="Garamond" w:eastAsia="Garamond" w:hAnsi="Garamond" w:cs="Garamond"/>
                                <w:color w:val="000000"/>
                                <w:sz w:val="20"/>
                              </w:rPr>
                            </w:pPr>
                            <w:r>
                              <w:rPr>
                                <w:rFonts w:ascii="Helvetica Neue" w:eastAsia="Helvetica Neue" w:hAnsi="Helvetica Neue" w:cs="Helvetica Neue"/>
                                <w:b/>
                                <w:color w:val="000000"/>
                                <w:sz w:val="20"/>
                              </w:rPr>
                              <w:t xml:space="preserve">ABSTRACT </w:t>
                            </w:r>
                            <w:r w:rsidR="008F221B" w:rsidRPr="008F221B">
                              <w:rPr>
                                <w:rFonts w:ascii="Garamond" w:eastAsia="Garamond" w:hAnsi="Garamond" w:cs="Garamond"/>
                                <w:color w:val="000000"/>
                                <w:sz w:val="20"/>
                                <w:lang w:val="en-GB"/>
                              </w:rPr>
                              <w:t>Soil-transmitted helminths (STHs) are neglected tropical diseases that disproportionately affect mobile and migrant populations (MMPs). With a high burden on low-and middle-income countries, especially in Southeast Asia (SEA), STH infection is associated with a lack of access to improved water, sanitation and hygiene (WASH) and is often treated with mass drug administration (MDA) of anthelmintic medications. This introduces challenges for addressing STH infections in MMPs whose unpredictable mobility, potential distrust in established healthcare systems due to their unfamiliarity, and limited access to services result in low healthcare utilization. Community engagement (CE) is necessary to address the high burden of STH infection in MMPs in SEA. It is characterized by participatory research and the integration of community voices, needs and interests through self-governance and utilization of community assets. However, there is a paucity of evidence assessing the effectiveness of CE in STH interventions for this specific population. We conducted a literature review to contextualize MMPs in SEA, illustrate the epidemiology of STH infection in this population, highlight how CE has historically been incorporated in STH interventions and identify future directions for CE. The review found a significant lack of research involving CE in STH interventions for MMPs in SEA but indicates potential for CE in MDA, surveillance programs, school-based control programs and STH research based on its success in other geographical and health contexts. CE can address MDA non-compliance and non-participation among MMPs, be incorporated into formal and informal education systems and mobilize individuals within MMPs to disseminate knowledge. Our findings illustrate that leveraging and integrating the voices and participation of MMPs through CE in integration with STH interventions may improve community support for these efforts, effectively reducing STH morbidity among MMPs in SEA.</w:t>
                            </w:r>
                            <w:r w:rsidR="00D666E3">
                              <w:rPr>
                                <w:rFonts w:ascii="Garamond" w:eastAsia="Garamond" w:hAnsi="Garamond" w:cs="Garamond"/>
                                <w:color w:val="000000"/>
                                <w:sz w:val="20"/>
                                <w:lang w:val="en-GB"/>
                              </w:rPr>
                              <w:t xml:space="preserve"> </w:t>
                            </w:r>
                          </w:p>
                          <w:p w14:paraId="087D593B" w14:textId="77777777" w:rsidR="005D72B9" w:rsidRDefault="005D72B9">
                            <w:pPr>
                              <w:spacing w:line="275" w:lineRule="auto"/>
                              <w:textDirection w:val="btLr"/>
                            </w:pPr>
                          </w:p>
                          <w:p w14:paraId="4BD4EF0B" w14:textId="3D2BDCAE" w:rsidR="005D72B9" w:rsidRDefault="00306140" w:rsidP="008F221B">
                            <w:pPr>
                              <w:spacing w:line="275" w:lineRule="auto"/>
                              <w:textDirection w:val="btLr"/>
                            </w:pPr>
                            <w:r>
                              <w:rPr>
                                <w:rFonts w:ascii="Helvetica Neue" w:eastAsia="Helvetica Neue" w:hAnsi="Helvetica Neue" w:cs="Helvetica Neue"/>
                                <w:b/>
                                <w:color w:val="000000"/>
                              </w:rPr>
                              <w:t xml:space="preserve">KEY WORDS </w:t>
                            </w:r>
                            <w:r w:rsidR="008F221B" w:rsidRPr="008F221B">
                              <w:rPr>
                                <w:rFonts w:ascii="Garamond" w:eastAsia="Garamond" w:hAnsi="Garamond" w:cs="Garamond"/>
                                <w:color w:val="000000"/>
                                <w:lang w:val="en-GB"/>
                              </w:rPr>
                              <w:t>soil-transmitted helminths, mobile and migrant populations, Southeast Asia, community engagement</w:t>
                            </w:r>
                          </w:p>
                          <w:p w14:paraId="42E36531" w14:textId="77777777" w:rsidR="005D72B9" w:rsidRDefault="005D72B9">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B1AE5B2" id="Rectangle 10" o:spid="_x0000_s1027" style="position:absolute;margin-left:-22.95pt;margin-top:340.35pt;width:472.4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" filled="f" stroked="f">
                <v:textbox inset="2.53958mm,1.2694mm,2.53958mm,1.2694mm">
                  <w:txbxContent>
                    <w:p w14:paraId="21991312" w14:textId="788870E0" w:rsidR="005D72B9" w:rsidRPr="007334E3" w:rsidRDefault="00306140">
                      <w:pPr>
                        <w:spacing w:line="240" w:lineRule="auto"/>
                        <w:jc w:val="both"/>
                        <w:textDirection w:val="btLr"/>
                        <w:rPr>
                          <w:rFonts w:ascii="Garamond" w:eastAsia="Garamond" w:hAnsi="Garamond" w:cs="Garamond"/>
                          <w:color w:val="000000"/>
                          <w:sz w:val="20"/>
                        </w:rPr>
                      </w:pPr>
                      <w:r>
                        <w:rPr>
                          <w:rFonts w:ascii="Helvetica Neue" w:eastAsia="Helvetica Neue" w:hAnsi="Helvetica Neue" w:cs="Helvetica Neue"/>
                          <w:b/>
                          <w:color w:val="000000"/>
                          <w:sz w:val="20"/>
                        </w:rPr>
                        <w:t xml:space="preserve">ABSTRACT </w:t>
                      </w:r>
                      <w:r w:rsidR="008F221B" w:rsidRPr="008F221B">
                        <w:rPr>
                          <w:rFonts w:ascii="Garamond" w:eastAsia="Garamond" w:hAnsi="Garamond" w:cs="Garamond"/>
                          <w:color w:val="000000"/>
                          <w:sz w:val="20"/>
                          <w:lang w:val="en-GB"/>
                        </w:rPr>
                        <w:t>Soil-transmitted helminths (STHs) are neglected tropical diseases that disproportionately affect mobile and migrant populations (MMPs). With a high burden on low-and middle-income countries, especially in Southeast Asia (SEA), STH infection is associated with a lack of access to improved water, sanitation and hygiene (WASH) and is often treated with mass drug administration (MDA) of anthelmintic medications. This introduces challenges for addressing STH infections in MMPs whose unpredictable mobility, potential distrust in established healthcare systems due to their unfamiliarity, and limited access to services result in low healthcare utilization. Community engagement (CE) is necessary to address the high burden of STH infection in MMPs in SEA. It is characterized by participatory research and the integration of community voices, needs and interests through self-governance and utilization of community assets. However, there is a paucity of evidence assessing the effectiveness of CE in STH interventions for this specific population. We conducted a literature review to contextualize MMPs in SEA, illustrate the epidemiology of STH infection in this population, highlight how CE has historically been incorporated in STH interventions and identify future directions for CE. The review found a significant lack of research involving CE in STH interventions for MMPs in SEA but indicates potential for CE in MDA, surveillance programs, school-based control programs and STH research based on its success in other geographical and health contexts. CE can address MDA non-compliance and non-participation among MMPs, be incorporated into formal and informal education systems and mobilize individuals within MMPs to disseminate knowledge. Our findings illustrate that leveraging and integrating the voices and participation of MMPs through CE in integration with STH interventions may improve community support for these efforts, effectively reducing STH morbidity among MMPs in SEA.</w:t>
                      </w:r>
                      <w:r w:rsidR="00D666E3">
                        <w:rPr>
                          <w:rFonts w:ascii="Garamond" w:eastAsia="Garamond" w:hAnsi="Garamond" w:cs="Garamond"/>
                          <w:color w:val="000000"/>
                          <w:sz w:val="20"/>
                          <w:lang w:val="en-GB"/>
                        </w:rPr>
                        <w:t xml:space="preserve"> </w:t>
                      </w:r>
                    </w:p>
                    <w:p w14:paraId="087D593B" w14:textId="77777777" w:rsidR="005D72B9" w:rsidRDefault="005D72B9">
                      <w:pPr>
                        <w:spacing w:line="275" w:lineRule="auto"/>
                        <w:textDirection w:val="btLr"/>
                      </w:pPr>
                    </w:p>
                    <w:p w14:paraId="4BD4EF0B" w14:textId="3D2BDCAE" w:rsidR="005D72B9" w:rsidRDefault="00306140" w:rsidP="008F221B">
                      <w:pPr>
                        <w:spacing w:line="275" w:lineRule="auto"/>
                        <w:textDirection w:val="btLr"/>
                      </w:pPr>
                      <w:r>
                        <w:rPr>
                          <w:rFonts w:ascii="Helvetica Neue" w:eastAsia="Helvetica Neue" w:hAnsi="Helvetica Neue" w:cs="Helvetica Neue"/>
                          <w:b/>
                          <w:color w:val="000000"/>
                        </w:rPr>
                        <w:t xml:space="preserve">KEY WORDS </w:t>
                      </w:r>
                      <w:r w:rsidR="008F221B" w:rsidRPr="008F221B">
                        <w:rPr>
                          <w:rFonts w:ascii="Garamond" w:eastAsia="Garamond" w:hAnsi="Garamond" w:cs="Garamond"/>
                          <w:color w:val="000000"/>
                          <w:lang w:val="en-GB"/>
                        </w:rPr>
                        <w:t>soil-transmitted helminths, mobile and migrant populations, Southeast Asia, community engagement</w:t>
                      </w:r>
                    </w:p>
                    <w:p w14:paraId="42E36531" w14:textId="77777777" w:rsidR="005D72B9" w:rsidRDefault="005D72B9">
                      <w:pPr>
                        <w:spacing w:line="275" w:lineRule="auto"/>
                        <w:textDirection w:val="btLr"/>
                      </w:pPr>
                    </w:p>
                  </w:txbxContent>
                </v:textbox>
                <w10:wrap type="topAndBottom"/>
              </v:rect>
            </w:pict>
          </mc:Fallback>
        </mc:AlternateContent>
      </w:r>
      <w:r w:rsidR="00461CE1">
        <w:rPr>
          <w:noProof/>
        </w:rPr>
        <mc:AlternateContent>
          <mc:Choice Requires="wps">
            <w:drawing>
              <wp:anchor distT="0" distB="0" distL="114300" distR="114300" simplePos="0" relativeHeight="251657216" behindDoc="0" locked="0" layoutInCell="1" allowOverlap="1" wp14:anchorId="19652B30" wp14:editId="0BEDA7C7">
                <wp:simplePos x="0" y="0"/>
                <wp:positionH relativeFrom="margin">
                  <wp:posOffset>-452755</wp:posOffset>
                </wp:positionH>
                <wp:positionV relativeFrom="paragraph">
                  <wp:posOffset>1449070</wp:posOffset>
                </wp:positionV>
                <wp:extent cx="6285865" cy="2567940"/>
                <wp:effectExtent l="0" t="0" r="63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256794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A916B" w14:textId="21D70FD2" w:rsidR="005D72B9" w:rsidRDefault="00E37CDA" w:rsidP="00E37CDA">
                            <w:pPr>
                              <w:spacing w:line="275" w:lineRule="auto"/>
                              <w:textDirection w:val="btLr"/>
                            </w:pPr>
                            <w:r w:rsidRPr="00E37CDA">
                              <w:rPr>
                                <w:rFonts w:ascii="Garamond" w:eastAsia="Garamond" w:hAnsi="Garamond" w:cs="Garamond"/>
                                <w:b/>
                                <w:color w:val="231F20"/>
                                <w:sz w:val="50"/>
                                <w:lang w:val="en"/>
                              </w:rPr>
                              <w:t>Community Engagement to Reduce Soil-Transmitted Helminth Infections Among Mobile and Migrant Populations in</w:t>
                            </w:r>
                            <w:r w:rsidR="00461CE1">
                              <w:rPr>
                                <w:rFonts w:ascii="Garamond" w:eastAsia="Garamond" w:hAnsi="Garamond" w:cs="Garamond"/>
                                <w:b/>
                                <w:color w:val="231F20"/>
                                <w:sz w:val="50"/>
                                <w:lang w:val="en"/>
                              </w:rPr>
                              <w:t xml:space="preserve"> Southeast Asia</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52B30" id="Rectangle 8" o:spid="_x0000_s1028" style="position:absolute;margin-left:-35.65pt;margin-top:114.1pt;width:494.95pt;height:202.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" fillcolor="white [3201]" stroked="f">
                <v:textbox inset="2.53958mm,1.2694mm,2.53958mm,1.2694mm">
                  <w:txbxContent>
                    <w:p w14:paraId="101A916B" w14:textId="21D70FD2" w:rsidR="005D72B9" w:rsidRDefault="00E37CDA" w:rsidP="00E37CDA">
                      <w:pPr>
                        <w:spacing w:line="275" w:lineRule="auto"/>
                        <w:textDirection w:val="btLr"/>
                      </w:pPr>
                      <w:r w:rsidRPr="00E37CDA">
                        <w:rPr>
                          <w:rFonts w:ascii="Garamond" w:eastAsia="Garamond" w:hAnsi="Garamond" w:cs="Garamond"/>
                          <w:b/>
                          <w:color w:val="231F20"/>
                          <w:sz w:val="50"/>
                          <w:lang w:val="en"/>
                        </w:rPr>
                        <w:t>Community Engagement to Reduce Soil-Transmitted Helminth Infections Among Mobile and Migrant Populations in</w:t>
                      </w:r>
                      <w:r w:rsidR="00461CE1">
                        <w:rPr>
                          <w:rFonts w:ascii="Garamond" w:eastAsia="Garamond" w:hAnsi="Garamond" w:cs="Garamond"/>
                          <w:b/>
                          <w:color w:val="231F20"/>
                          <w:sz w:val="50"/>
                          <w:lang w:val="en"/>
                        </w:rPr>
                        <w:t xml:space="preserve"> Southeast Asia</w:t>
                      </w:r>
                    </w:p>
                  </w:txbxContent>
                </v:textbox>
                <w10:wrap type="topAndBottom" anchorx="margin"/>
              </v:rect>
            </w:pict>
          </mc:Fallback>
        </mc:AlternateContent>
      </w:r>
      <w:r w:rsidR="009E722E">
        <w:rPr>
          <w:noProof/>
        </w:rPr>
        <mc:AlternateContent>
          <mc:Choice Requires="wps">
            <w:drawing>
              <wp:anchor distT="0" distB="0" distL="114300" distR="114300" simplePos="0" relativeHeight="251660288" behindDoc="0" locked="0" layoutInCell="1" allowOverlap="1" wp14:anchorId="59B02876" wp14:editId="41727893">
                <wp:simplePos x="0" y="0"/>
                <wp:positionH relativeFrom="column">
                  <wp:posOffset>5029200</wp:posOffset>
                </wp:positionH>
                <wp:positionV relativeFrom="paragraph">
                  <wp:posOffset>-444500</wp:posOffset>
                </wp:positionV>
                <wp:extent cx="1064260" cy="29464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DD18" w14:textId="302CCA83" w:rsidR="004C6B87" w:rsidRDefault="009E722E">
                            <w:pPr>
                              <w:spacing w:line="275" w:lineRule="auto"/>
                              <w:textDirection w:val="btLr"/>
                            </w:pPr>
                            <w:r>
                              <w:rPr>
                                <w:rFonts w:ascii="Helvetica Neue Light" w:eastAsia="Helvetica Neue Light" w:hAnsi="Helvetica Neue Light" w:cs="Helvetica Neue Light"/>
                                <w:color w:val="000000"/>
                                <w:sz w:val="24"/>
                              </w:rPr>
                              <w:t>REVIEW</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02876" id="Rectangle 7" o:spid="_x0000_s1029" style="position:absolute;margin-left:396pt;margin-top:-35pt;width:83.8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" filled="f" stroked="f">
                <v:textbox inset="2.53958mm,1.2694mm,2.53958mm,1.2694mm">
                  <w:txbxContent>
                    <w:p w14:paraId="637ADD18" w14:textId="302CCA83" w:rsidR="004C6B87" w:rsidRDefault="009E722E">
                      <w:pPr>
                        <w:spacing w:line="275" w:lineRule="auto"/>
                        <w:textDirection w:val="btLr"/>
                      </w:pPr>
                      <w:r>
                        <w:rPr>
                          <w:rFonts w:ascii="Helvetica Neue Light" w:eastAsia="Helvetica Neue Light" w:hAnsi="Helvetica Neue Light" w:cs="Helvetica Neue Light"/>
                          <w:color w:val="000000"/>
                          <w:sz w:val="24"/>
                        </w:rPr>
                        <w:t>REVIEW</w:t>
                      </w:r>
                    </w:p>
                  </w:txbxContent>
                </v:textbox>
              </v:rect>
            </w:pict>
          </mc:Fallback>
        </mc:AlternateContent>
      </w:r>
      <w:r w:rsidR="00306140">
        <w:rPr>
          <w:noProof/>
        </w:rPr>
        <w:drawing>
          <wp:anchor distT="0" distB="0" distL="114300" distR="114300" simplePos="0" relativeHeight="251659264" behindDoc="0" locked="0" layoutInCell="1" hidden="0" allowOverlap="1" wp14:anchorId="61CBC8CD" wp14:editId="02787FEA">
            <wp:simplePos x="0" y="0"/>
            <wp:positionH relativeFrom="column">
              <wp:posOffset>5072209</wp:posOffset>
            </wp:positionH>
            <wp:positionV relativeFrom="paragraph">
              <wp:posOffset>-937719</wp:posOffset>
            </wp:positionV>
            <wp:extent cx="964538" cy="766119"/>
            <wp:effectExtent l="0" t="0" r="0" b="0"/>
            <wp:wrapNone/>
            <wp:docPr id="88" name="image4.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Shape, rectangle&#10;&#10;Description automatically generated"/>
                    <pic:cNvPicPr preferRelativeResize="0"/>
                  </pic:nvPicPr>
                  <pic:blipFill>
                    <a:blip r:embed="rId9"/>
                    <a:srcRect/>
                    <a:stretch>
                      <a:fillRect/>
                    </a:stretch>
                  </pic:blipFill>
                  <pic:spPr>
                    <a:xfrm>
                      <a:off x="0" y="0"/>
                      <a:ext cx="964538" cy="766119"/>
                    </a:xfrm>
                    <a:prstGeom prst="rect">
                      <a:avLst/>
                    </a:prstGeom>
                    <a:ln/>
                  </pic:spPr>
                </pic:pic>
              </a:graphicData>
            </a:graphic>
          </wp:anchor>
        </w:drawing>
      </w:r>
      <w:r w:rsidR="00306140">
        <w:rPr>
          <w:noProof/>
        </w:rPr>
        <w:drawing>
          <wp:anchor distT="0" distB="0" distL="114300" distR="114300" simplePos="0" relativeHeight="251661312" behindDoc="0" locked="0" layoutInCell="1" hidden="0" allowOverlap="1" wp14:anchorId="0AE07D3B" wp14:editId="63CFE2E9">
            <wp:simplePos x="0" y="0"/>
            <wp:positionH relativeFrom="column">
              <wp:posOffset>-464184</wp:posOffset>
            </wp:positionH>
            <wp:positionV relativeFrom="paragraph">
              <wp:posOffset>3810</wp:posOffset>
            </wp:positionV>
            <wp:extent cx="4323080" cy="1203960"/>
            <wp:effectExtent l="0" t="0" r="0" b="0"/>
            <wp:wrapTopAndBottom distT="0" distB="0"/>
            <wp:docPr id="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323080" cy="1203960"/>
                    </a:xfrm>
                    <a:prstGeom prst="rect">
                      <a:avLst/>
                    </a:prstGeom>
                    <a:ln/>
                  </pic:spPr>
                </pic:pic>
              </a:graphicData>
            </a:graphic>
          </wp:anchor>
        </w:drawing>
      </w:r>
    </w:p>
    <w:p w14:paraId="2F3B83D9" w14:textId="6CC44000" w:rsidR="005D72B9" w:rsidRDefault="005D72B9">
      <w:pPr>
        <w:widowControl w:val="0"/>
        <w:pBdr>
          <w:top w:val="nil"/>
          <w:left w:val="nil"/>
          <w:bottom w:val="nil"/>
          <w:right w:val="nil"/>
          <w:between w:val="nil"/>
        </w:pBdr>
        <w:spacing w:line="240" w:lineRule="auto"/>
        <w:jc w:val="both"/>
        <w:rPr>
          <w:b/>
          <w:color w:val="009999"/>
          <w:sz w:val="20"/>
          <w:szCs w:val="20"/>
        </w:rPr>
      </w:pPr>
    </w:p>
    <w:p w14:paraId="2AF6FE15" w14:textId="77777777" w:rsidR="001B254F" w:rsidRDefault="001B254F">
      <w:pPr>
        <w:widowControl w:val="0"/>
        <w:pBdr>
          <w:top w:val="nil"/>
          <w:left w:val="nil"/>
          <w:bottom w:val="nil"/>
          <w:right w:val="nil"/>
          <w:between w:val="nil"/>
        </w:pBdr>
        <w:spacing w:line="240" w:lineRule="auto"/>
        <w:jc w:val="both"/>
        <w:rPr>
          <w:b/>
          <w:color w:val="009999"/>
          <w:sz w:val="20"/>
          <w:szCs w:val="20"/>
        </w:rPr>
      </w:pPr>
    </w:p>
    <w:p w14:paraId="77DA36AB" w14:textId="282EEAEB" w:rsidR="005D72B9" w:rsidRDefault="00306140">
      <w:pPr>
        <w:widowControl w:val="0"/>
        <w:pBdr>
          <w:top w:val="nil"/>
          <w:left w:val="nil"/>
          <w:bottom w:val="nil"/>
          <w:right w:val="nil"/>
          <w:between w:val="nil"/>
        </w:pBdr>
        <w:spacing w:line="240" w:lineRule="auto"/>
        <w:jc w:val="both"/>
        <w:rPr>
          <w:color w:val="009999"/>
          <w:sz w:val="20"/>
          <w:szCs w:val="20"/>
        </w:rPr>
      </w:pPr>
      <w:r>
        <w:rPr>
          <w:b/>
          <w:color w:val="009999"/>
          <w:sz w:val="20"/>
          <w:szCs w:val="20"/>
        </w:rPr>
        <w:lastRenderedPageBreak/>
        <w:t>INTRODUCTION</w:t>
      </w:r>
      <w:r>
        <w:rPr>
          <w:color w:val="009999"/>
          <w:sz w:val="20"/>
          <w:szCs w:val="20"/>
        </w:rPr>
        <w:t xml:space="preserve"> </w:t>
      </w:r>
    </w:p>
    <w:p w14:paraId="44EA83C2" w14:textId="7002A7DF"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Soil-transmitted helminths (STHs) infect over 1.5 billion people worldwide, which make up about a quarter of the world </w:t>
      </w:r>
      <w:proofErr w:type="gramStart"/>
      <w:r w:rsidRPr="0026193B">
        <w:rPr>
          <w:rFonts w:ascii="Garamond" w:eastAsia="Garamond" w:hAnsi="Garamond" w:cs="Garamond"/>
          <w:color w:val="231F20"/>
          <w:sz w:val="20"/>
          <w:szCs w:val="20"/>
          <w:lang w:val="en-GB"/>
        </w:rPr>
        <w:t>population</w:t>
      </w:r>
      <w:r w:rsidR="00FD3AA1">
        <w:rPr>
          <w:rFonts w:ascii="Garamond" w:eastAsia="Garamond" w:hAnsi="Garamond" w:cs="Garamond"/>
          <w:color w:val="231F20"/>
          <w:sz w:val="20"/>
          <w:szCs w:val="20"/>
          <w:lang w:val="en-GB"/>
        </w:rPr>
        <w:t>[</w:t>
      </w:r>
      <w:proofErr w:type="gramEnd"/>
      <w:r w:rsidR="00FD3AA1">
        <w:rPr>
          <w:rFonts w:ascii="Garamond" w:eastAsia="Garamond" w:hAnsi="Garamond" w:cs="Garamond"/>
          <w:color w:val="231F20"/>
          <w:sz w:val="20"/>
          <w:szCs w:val="20"/>
          <w:lang w:val="en-GB"/>
        </w:rPr>
        <w:t>1]</w:t>
      </w:r>
      <w:r w:rsidRPr="0026193B">
        <w:rPr>
          <w:rFonts w:ascii="Garamond" w:eastAsia="Garamond" w:hAnsi="Garamond" w:cs="Garamond"/>
          <w:color w:val="231F20"/>
          <w:sz w:val="20"/>
          <w:szCs w:val="20"/>
          <w:lang w:val="en-GB"/>
        </w:rPr>
        <w:t xml:space="preserve">. The main STHs are roundworm, whipworm and hookworm, mainly caused by the species Ascaris lumbricoides, Trichuris </w:t>
      </w:r>
      <w:proofErr w:type="spellStart"/>
      <w:r w:rsidRPr="0026193B">
        <w:rPr>
          <w:rFonts w:ascii="Garamond" w:eastAsia="Garamond" w:hAnsi="Garamond" w:cs="Garamond"/>
          <w:color w:val="231F20"/>
          <w:sz w:val="20"/>
          <w:szCs w:val="20"/>
          <w:lang w:val="en-GB"/>
        </w:rPr>
        <w:t>trichiura</w:t>
      </w:r>
      <w:proofErr w:type="spellEnd"/>
      <w:r w:rsidRPr="0026193B">
        <w:rPr>
          <w:rFonts w:ascii="Garamond" w:eastAsia="Garamond" w:hAnsi="Garamond" w:cs="Garamond"/>
          <w:color w:val="231F20"/>
          <w:sz w:val="20"/>
          <w:szCs w:val="20"/>
          <w:lang w:val="en-GB"/>
        </w:rPr>
        <w:t xml:space="preserve">, </w:t>
      </w:r>
      <w:proofErr w:type="spellStart"/>
      <w:r w:rsidRPr="0026193B">
        <w:rPr>
          <w:rFonts w:ascii="Garamond" w:eastAsia="Garamond" w:hAnsi="Garamond" w:cs="Garamond"/>
          <w:color w:val="231F20"/>
          <w:sz w:val="20"/>
          <w:szCs w:val="20"/>
          <w:lang w:val="en-GB"/>
        </w:rPr>
        <w:t>Necator</w:t>
      </w:r>
      <w:proofErr w:type="spellEnd"/>
      <w:r w:rsidRPr="0026193B">
        <w:rPr>
          <w:rFonts w:ascii="Garamond" w:eastAsia="Garamond" w:hAnsi="Garamond" w:cs="Garamond"/>
          <w:color w:val="231F20"/>
          <w:sz w:val="20"/>
          <w:szCs w:val="20"/>
          <w:lang w:val="en-GB"/>
        </w:rPr>
        <w:t xml:space="preserve"> americanus and </w:t>
      </w:r>
      <w:proofErr w:type="spellStart"/>
      <w:r w:rsidRPr="0026193B">
        <w:rPr>
          <w:rFonts w:ascii="Garamond" w:eastAsia="Garamond" w:hAnsi="Garamond" w:cs="Garamond"/>
          <w:color w:val="231F20"/>
          <w:sz w:val="20"/>
          <w:szCs w:val="20"/>
          <w:lang w:val="en-GB"/>
        </w:rPr>
        <w:t>Ancylostoma</w:t>
      </w:r>
      <w:proofErr w:type="spellEnd"/>
      <w:r w:rsidRPr="0026193B">
        <w:rPr>
          <w:rFonts w:ascii="Garamond" w:eastAsia="Garamond" w:hAnsi="Garamond" w:cs="Garamond"/>
          <w:color w:val="231F20"/>
          <w:sz w:val="20"/>
          <w:szCs w:val="20"/>
          <w:lang w:val="en-GB"/>
        </w:rPr>
        <w:t xml:space="preserve"> duodenale, respectively. STH infection rates are highest among resource-limited communities that lack access to improved water, sanitation and hygiene (WASH), as transmission occurs through contaminated human </w:t>
      </w:r>
      <w:proofErr w:type="spellStart"/>
      <w:proofErr w:type="gramStart"/>
      <w:r w:rsidRPr="0026193B">
        <w:rPr>
          <w:rFonts w:ascii="Garamond" w:eastAsia="Garamond" w:hAnsi="Garamond" w:cs="Garamond"/>
          <w:color w:val="231F20"/>
          <w:sz w:val="20"/>
          <w:szCs w:val="20"/>
          <w:lang w:val="en-GB"/>
        </w:rPr>
        <w:t>feces</w:t>
      </w:r>
      <w:proofErr w:type="spellEnd"/>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2</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STHs are considered a neglected tropical disease (NTD), which is a classified group of infections that disproportionately impact low- and middle-income countries (LMICs) in tropical </w:t>
      </w:r>
      <w:proofErr w:type="gramStart"/>
      <w:r w:rsidRPr="0026193B">
        <w:rPr>
          <w:rFonts w:ascii="Garamond" w:eastAsia="Garamond" w:hAnsi="Garamond" w:cs="Garamond"/>
          <w:color w:val="231F20"/>
          <w:sz w:val="20"/>
          <w:szCs w:val="20"/>
          <w:lang w:val="en-GB"/>
        </w:rPr>
        <w:t>climates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3</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STH infections have detrimental health effects, including malnutrition, </w:t>
      </w:r>
      <w:proofErr w:type="spellStart"/>
      <w:r w:rsidRPr="0026193B">
        <w:rPr>
          <w:rFonts w:ascii="Garamond" w:eastAsia="Garamond" w:hAnsi="Garamond" w:cs="Garamond"/>
          <w:color w:val="231F20"/>
          <w:sz w:val="20"/>
          <w:szCs w:val="20"/>
          <w:lang w:val="en-GB"/>
        </w:rPr>
        <w:t>anemia</w:t>
      </w:r>
      <w:proofErr w:type="spellEnd"/>
      <w:r w:rsidRPr="0026193B">
        <w:rPr>
          <w:rFonts w:ascii="Garamond" w:eastAsia="Garamond" w:hAnsi="Garamond" w:cs="Garamond"/>
          <w:color w:val="231F20"/>
          <w:sz w:val="20"/>
          <w:szCs w:val="20"/>
          <w:lang w:val="en-GB"/>
        </w:rPr>
        <w:t xml:space="preserve"> as a result of intestinal blood loss, impaired growth and development, as well as acute symptoms such as stomach pain, </w:t>
      </w:r>
      <w:proofErr w:type="spellStart"/>
      <w:r w:rsidRPr="0026193B">
        <w:rPr>
          <w:rFonts w:ascii="Garamond" w:eastAsia="Garamond" w:hAnsi="Garamond" w:cs="Garamond"/>
          <w:color w:val="231F20"/>
          <w:sz w:val="20"/>
          <w:szCs w:val="20"/>
          <w:lang w:val="en-GB"/>
        </w:rPr>
        <w:t>diarrhea</w:t>
      </w:r>
      <w:proofErr w:type="spellEnd"/>
      <w:r w:rsidRPr="0026193B">
        <w:rPr>
          <w:rFonts w:ascii="Garamond" w:eastAsia="Garamond" w:hAnsi="Garamond" w:cs="Garamond"/>
          <w:color w:val="231F20"/>
          <w:sz w:val="20"/>
          <w:szCs w:val="20"/>
          <w:lang w:val="en-GB"/>
        </w:rPr>
        <w:t xml:space="preserve">, reduced appetite and </w:t>
      </w:r>
      <w:proofErr w:type="gramStart"/>
      <w:r w:rsidRPr="0026193B">
        <w:rPr>
          <w:rFonts w:ascii="Garamond" w:eastAsia="Garamond" w:hAnsi="Garamond" w:cs="Garamond"/>
          <w:color w:val="231F20"/>
          <w:sz w:val="20"/>
          <w:szCs w:val="20"/>
          <w:lang w:val="en-GB"/>
        </w:rPr>
        <w:t>weakness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w:t>
      </w:r>
    </w:p>
    <w:p w14:paraId="32C7C98F" w14:textId="77777777" w:rsidR="0026193B" w:rsidRP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p>
    <w:p w14:paraId="73CD9299" w14:textId="0DE11C2C"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Because of their similar diagnoses and responses to treatment, STHs are often addressed collectively by public health interventions in </w:t>
      </w:r>
      <w:proofErr w:type="gramStart"/>
      <w:r w:rsidRPr="0026193B">
        <w:rPr>
          <w:rFonts w:ascii="Garamond" w:eastAsia="Garamond" w:hAnsi="Garamond" w:cs="Garamond"/>
          <w:color w:val="231F20"/>
          <w:sz w:val="20"/>
          <w:szCs w:val="20"/>
          <w:lang w:val="en-GB"/>
        </w:rPr>
        <w:t>LMICs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A common intervention to combat STH morbidity and mortality is mass drug administration (MDA) of albendazole and mebendazole, which are regularly used oral anthelmintic medications recommended by WHO as essential medicines that treat the main STH </w:t>
      </w:r>
      <w:proofErr w:type="gramStart"/>
      <w:r w:rsidRPr="0026193B">
        <w:rPr>
          <w:rFonts w:ascii="Garamond" w:eastAsia="Garamond" w:hAnsi="Garamond" w:cs="Garamond"/>
          <w:color w:val="231F20"/>
          <w:sz w:val="20"/>
          <w:szCs w:val="20"/>
          <w:lang w:val="en-GB"/>
        </w:rPr>
        <w:t>species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However, there are major concerns for deworming MDA programs because many tend to only reach school-aged children, have inconsistent monitoring and do not address potential resistance against anthelmintic </w:t>
      </w:r>
      <w:proofErr w:type="gramStart"/>
      <w:r w:rsidRPr="0026193B">
        <w:rPr>
          <w:rFonts w:ascii="Garamond" w:eastAsia="Garamond" w:hAnsi="Garamond" w:cs="Garamond"/>
          <w:color w:val="231F20"/>
          <w:sz w:val="20"/>
          <w:szCs w:val="20"/>
          <w:lang w:val="en-GB"/>
        </w:rPr>
        <w:t>drugs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4,</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5</w:t>
      </w:r>
      <w:r w:rsidR="00FD3AA1">
        <w:rPr>
          <w:rFonts w:ascii="Garamond" w:eastAsia="Garamond" w:hAnsi="Garamond" w:cs="Garamond"/>
          <w:color w:val="231F20"/>
          <w:sz w:val="20"/>
          <w:szCs w:val="20"/>
          <w:lang w:val="en-GB"/>
        </w:rPr>
        <w:t>].</w:t>
      </w:r>
    </w:p>
    <w:p w14:paraId="61A73BD9" w14:textId="77777777" w:rsidR="0026193B" w:rsidRP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p>
    <w:p w14:paraId="307DF1B7" w14:textId="575FA5FC"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The United Nations High Commissioner for Refugees (UNHCR) reports that by the end of 2022, 108.4 million people were forcibly displaced worldwide due to conflicts that include but are not limited to persecution, violence and human rights </w:t>
      </w:r>
      <w:proofErr w:type="gramStart"/>
      <w:r w:rsidRPr="0026193B">
        <w:rPr>
          <w:rFonts w:ascii="Garamond" w:eastAsia="Garamond" w:hAnsi="Garamond" w:cs="Garamond"/>
          <w:color w:val="231F20"/>
          <w:sz w:val="20"/>
          <w:szCs w:val="20"/>
          <w:lang w:val="en-GB"/>
        </w:rPr>
        <w:t>violations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6</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Past literature indicates that refugees, migrants and internally displaced persons (IDPs) are at higher risk of contracting STHs, and may have also formerly resided or currently reside in areas where STH infections are </w:t>
      </w:r>
      <w:proofErr w:type="gramStart"/>
      <w:r w:rsidRPr="0026193B">
        <w:rPr>
          <w:rFonts w:ascii="Garamond" w:eastAsia="Garamond" w:hAnsi="Garamond" w:cs="Garamond"/>
          <w:color w:val="231F20"/>
          <w:sz w:val="20"/>
          <w:szCs w:val="20"/>
          <w:lang w:val="en-GB"/>
        </w:rPr>
        <w:t>endemic</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7,</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9</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For the purpose of this paper, the term “mobile and migrant populations” (MMPs) is used as an umbrella term encompassing refugees, migrants, asylum seekers and IDPs. Social determinants of health are shaped and exacerbated by MMP status, in which MMPs may experience adverse health outcomes or poor access to healthcare in their areas of transit due to their unpredictable </w:t>
      </w:r>
      <w:proofErr w:type="gramStart"/>
      <w:r w:rsidRPr="0026193B">
        <w:rPr>
          <w:rFonts w:ascii="Garamond" w:eastAsia="Garamond" w:hAnsi="Garamond" w:cs="Garamond"/>
          <w:color w:val="231F20"/>
          <w:sz w:val="20"/>
          <w:szCs w:val="20"/>
          <w:lang w:val="en-GB"/>
        </w:rPr>
        <w:t>mobility</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10</w:t>
      </w:r>
      <w:r w:rsidR="00FD3AA1">
        <w:rPr>
          <w:rFonts w:ascii="Garamond" w:eastAsia="Garamond" w:hAnsi="Garamond" w:cs="Garamond"/>
          <w:color w:val="231F20"/>
          <w:sz w:val="20"/>
          <w:szCs w:val="20"/>
          <w:lang w:val="en-GB"/>
        </w:rPr>
        <w:t>].</w:t>
      </w:r>
    </w:p>
    <w:p w14:paraId="60213DC1" w14:textId="77777777" w:rsidR="0026193B" w:rsidRP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p>
    <w:p w14:paraId="6AAED62A" w14:textId="1431E613"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Southeast Asia (SEA), a region of Asia where a majority of the countries are considered LMICs, has experienced recent turmoil in the past decades that has caused a significant influx of </w:t>
      </w:r>
      <w:proofErr w:type="gramStart"/>
      <w:r w:rsidRPr="0026193B">
        <w:rPr>
          <w:rFonts w:ascii="Garamond" w:eastAsia="Garamond" w:hAnsi="Garamond" w:cs="Garamond"/>
          <w:color w:val="231F20"/>
          <w:sz w:val="20"/>
          <w:szCs w:val="20"/>
          <w:lang w:val="en-GB"/>
        </w:rPr>
        <w:t>migration</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11,</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12</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In Myanmar, formerly known as Burma, minority Rohingya Muslims were declared stateless under the 1982 Citizenship Law, causing resettlement into many </w:t>
      </w:r>
      <w:proofErr w:type="spellStart"/>
      <w:r w:rsidRPr="0026193B">
        <w:rPr>
          <w:rFonts w:ascii="Garamond" w:eastAsia="Garamond" w:hAnsi="Garamond" w:cs="Garamond"/>
          <w:color w:val="231F20"/>
          <w:sz w:val="20"/>
          <w:szCs w:val="20"/>
          <w:lang w:val="en-GB"/>
        </w:rPr>
        <w:t>neighboring</w:t>
      </w:r>
      <w:proofErr w:type="spellEnd"/>
      <w:r w:rsidRPr="0026193B">
        <w:rPr>
          <w:rFonts w:ascii="Garamond" w:eastAsia="Garamond" w:hAnsi="Garamond" w:cs="Garamond"/>
          <w:color w:val="231F20"/>
          <w:sz w:val="20"/>
          <w:szCs w:val="20"/>
          <w:lang w:val="en-GB"/>
        </w:rPr>
        <w:t xml:space="preserve"> countries over the </w:t>
      </w:r>
      <w:proofErr w:type="gramStart"/>
      <w:r w:rsidRPr="0026193B">
        <w:rPr>
          <w:rFonts w:ascii="Garamond" w:eastAsia="Garamond" w:hAnsi="Garamond" w:cs="Garamond"/>
          <w:color w:val="231F20"/>
          <w:sz w:val="20"/>
          <w:szCs w:val="20"/>
          <w:lang w:val="en-GB"/>
        </w:rPr>
        <w:t>years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10</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The most common destinations are Bangladesh, which holds the largest refugee camp worldwide housing over 1.1 million refugees, as well as Malaysia and </w:t>
      </w:r>
      <w:proofErr w:type="gramStart"/>
      <w:r w:rsidRPr="0026193B">
        <w:rPr>
          <w:rFonts w:ascii="Garamond" w:eastAsia="Garamond" w:hAnsi="Garamond" w:cs="Garamond"/>
          <w:color w:val="231F20"/>
          <w:sz w:val="20"/>
          <w:szCs w:val="20"/>
          <w:lang w:val="en-GB"/>
        </w:rPr>
        <w:t>Thailand</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8,</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13</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Historical events of the mid-to late-20th century, such as the Vietnam War, the Cambodian genocide and waves of migration in search of industrial jobs, have also significantly increased resettlement among refugees and asylum seekers across </w:t>
      </w:r>
      <w:proofErr w:type="gramStart"/>
      <w:r w:rsidRPr="0026193B">
        <w:rPr>
          <w:rFonts w:ascii="Garamond" w:eastAsia="Garamond" w:hAnsi="Garamond" w:cs="Garamond"/>
          <w:color w:val="231F20"/>
          <w:sz w:val="20"/>
          <w:szCs w:val="20"/>
          <w:lang w:val="en-GB"/>
        </w:rPr>
        <w:t>SEA</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12,</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14</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As a region, SEA holds approximately a third of the global STH </w:t>
      </w:r>
      <w:proofErr w:type="gramStart"/>
      <w:r w:rsidRPr="0026193B">
        <w:rPr>
          <w:rFonts w:ascii="Garamond" w:eastAsia="Garamond" w:hAnsi="Garamond" w:cs="Garamond"/>
          <w:color w:val="231F20"/>
          <w:sz w:val="20"/>
          <w:szCs w:val="20"/>
          <w:lang w:val="en-GB"/>
        </w:rPr>
        <w:t>cases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14</w:t>
      </w:r>
      <w:r w:rsidR="00FD3AA1">
        <w:rPr>
          <w:rFonts w:ascii="Garamond" w:eastAsia="Garamond" w:hAnsi="Garamond" w:cs="Garamond"/>
          <w:color w:val="231F20"/>
          <w:sz w:val="20"/>
          <w:szCs w:val="20"/>
          <w:lang w:val="en-GB"/>
        </w:rPr>
        <w:t>].</w:t>
      </w:r>
    </w:p>
    <w:p w14:paraId="38C59E60" w14:textId="77777777" w:rsidR="0026193B" w:rsidRP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p>
    <w:p w14:paraId="505AFD8C" w14:textId="199A6DAD"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There is a growing need for more integrated approaches to reduce the global burden of STHs with an emphasis on incorporating greater community engagement (CE) into interventions that aim to reduce STH </w:t>
      </w:r>
      <w:proofErr w:type="gramStart"/>
      <w:r w:rsidRPr="0026193B">
        <w:rPr>
          <w:rFonts w:ascii="Garamond" w:eastAsia="Garamond" w:hAnsi="Garamond" w:cs="Garamond"/>
          <w:color w:val="231F20"/>
          <w:sz w:val="20"/>
          <w:szCs w:val="20"/>
          <w:lang w:val="en-GB"/>
        </w:rPr>
        <w:t>morbidity</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8,</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15,</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16</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CE refers to a standard of ethical conduct that stresses collaboration in research and intervention development between community members, researchers and implementation partners to improve health outcomes, policy and service delivery with an emphasis on solidarity and participatory </w:t>
      </w:r>
      <w:proofErr w:type="gramStart"/>
      <w:r w:rsidRPr="0026193B">
        <w:rPr>
          <w:rFonts w:ascii="Garamond" w:eastAsia="Garamond" w:hAnsi="Garamond" w:cs="Garamond"/>
          <w:color w:val="231F20"/>
          <w:sz w:val="20"/>
          <w:szCs w:val="20"/>
          <w:lang w:val="en-GB"/>
        </w:rPr>
        <w:t>practices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17,</w:t>
      </w:r>
      <w:r w:rsidR="00FD3AA1">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t>18</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CE can be described as bilateral, where there are sustained efforts between high-income countries (HICs) and LMICs to engage communities in research and programming, including LMIC researchers and community members who are representative of their greater </w:t>
      </w:r>
      <w:proofErr w:type="gramStart"/>
      <w:r w:rsidRPr="0026193B">
        <w:rPr>
          <w:rFonts w:ascii="Garamond" w:eastAsia="Garamond" w:hAnsi="Garamond" w:cs="Garamond"/>
          <w:color w:val="231F20"/>
          <w:sz w:val="20"/>
          <w:szCs w:val="20"/>
          <w:lang w:val="en-GB"/>
        </w:rPr>
        <w:t>communities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18</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Practices include direct involvement of community members in outreach and education initiatives, feedback and consultation, decision-making and participation in the research process, as well as bidirectional partnerships between researchers, community members and other </w:t>
      </w:r>
      <w:proofErr w:type="gramStart"/>
      <w:r w:rsidRPr="0026193B">
        <w:rPr>
          <w:rFonts w:ascii="Garamond" w:eastAsia="Garamond" w:hAnsi="Garamond" w:cs="Garamond"/>
          <w:color w:val="231F20"/>
          <w:sz w:val="20"/>
          <w:szCs w:val="20"/>
          <w:lang w:val="en-GB"/>
        </w:rPr>
        <w:t>stakeholders</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19</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These practices should be characterized by risk management, respect through active listening and legitimization of the research through transparency and </w:t>
      </w:r>
      <w:proofErr w:type="gramStart"/>
      <w:r w:rsidRPr="0026193B">
        <w:rPr>
          <w:rFonts w:ascii="Garamond" w:eastAsia="Garamond" w:hAnsi="Garamond" w:cs="Garamond"/>
          <w:color w:val="231F20"/>
          <w:sz w:val="20"/>
          <w:szCs w:val="20"/>
          <w:lang w:val="en-GB"/>
        </w:rPr>
        <w:t>accountability</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20</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w:t>
      </w:r>
    </w:p>
    <w:p w14:paraId="58FAE134" w14:textId="77777777" w:rsidR="0026193B" w:rsidRP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p>
    <w:p w14:paraId="35EEFFB6" w14:textId="35E5E00E"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val="en-GB"/>
        </w:rPr>
      </w:pPr>
      <w:r w:rsidRPr="0026193B">
        <w:rPr>
          <w:rFonts w:ascii="Garamond" w:eastAsia="Garamond" w:hAnsi="Garamond" w:cs="Garamond"/>
          <w:color w:val="231F20"/>
          <w:sz w:val="20"/>
          <w:szCs w:val="20"/>
          <w:lang w:val="en-GB"/>
        </w:rPr>
        <w:t xml:space="preserve">Incorporating CE has proven potential in reducing STH infection among countries within the SEA region, including in school-based programs in the Philippines and Malaysia, as well as through mobilization of village health volunteers on the Thai-Burmese border to incorporate community </w:t>
      </w:r>
      <w:proofErr w:type="gramStart"/>
      <w:r w:rsidRPr="0026193B">
        <w:rPr>
          <w:rFonts w:ascii="Garamond" w:eastAsia="Garamond" w:hAnsi="Garamond" w:cs="Garamond"/>
          <w:color w:val="231F20"/>
          <w:sz w:val="20"/>
          <w:szCs w:val="20"/>
          <w:lang w:val="en-GB"/>
        </w:rPr>
        <w:t>participation</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21-23</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Evidence has also shown effectiveness of CE among MMPs in SEA in psychosocial interventions to improve mental health, </w:t>
      </w:r>
      <w:proofErr w:type="spellStart"/>
      <w:r w:rsidRPr="0026193B">
        <w:rPr>
          <w:rFonts w:ascii="Garamond" w:eastAsia="Garamond" w:hAnsi="Garamond" w:cs="Garamond"/>
          <w:color w:val="231F20"/>
          <w:sz w:val="20"/>
          <w:szCs w:val="20"/>
          <w:lang w:val="en-GB"/>
        </w:rPr>
        <w:t>fecal</w:t>
      </w:r>
      <w:proofErr w:type="spellEnd"/>
      <w:r w:rsidRPr="0026193B">
        <w:rPr>
          <w:rFonts w:ascii="Garamond" w:eastAsia="Garamond" w:hAnsi="Garamond" w:cs="Garamond"/>
          <w:color w:val="231F20"/>
          <w:sz w:val="20"/>
          <w:szCs w:val="20"/>
          <w:lang w:val="en-GB"/>
        </w:rPr>
        <w:t xml:space="preserve"> sludge treatment programs in Rohingya camps and MDA of anti-</w:t>
      </w:r>
      <w:proofErr w:type="spellStart"/>
      <w:r w:rsidRPr="0026193B">
        <w:rPr>
          <w:rFonts w:ascii="Garamond" w:eastAsia="Garamond" w:hAnsi="Garamond" w:cs="Garamond"/>
          <w:color w:val="231F20"/>
          <w:sz w:val="20"/>
          <w:szCs w:val="20"/>
          <w:lang w:val="en-GB"/>
        </w:rPr>
        <w:t>malarials</w:t>
      </w:r>
      <w:proofErr w:type="spellEnd"/>
      <w:r w:rsidRPr="0026193B">
        <w:rPr>
          <w:rFonts w:ascii="Garamond" w:eastAsia="Garamond" w:hAnsi="Garamond" w:cs="Garamond"/>
          <w:color w:val="231F20"/>
          <w:sz w:val="20"/>
          <w:szCs w:val="20"/>
          <w:lang w:val="en-GB"/>
        </w:rPr>
        <w:t xml:space="preserve"> in </w:t>
      </w:r>
      <w:proofErr w:type="gramStart"/>
      <w:r w:rsidRPr="0026193B">
        <w:rPr>
          <w:rFonts w:ascii="Garamond" w:eastAsia="Garamond" w:hAnsi="Garamond" w:cs="Garamond"/>
          <w:color w:val="231F20"/>
          <w:sz w:val="20"/>
          <w:szCs w:val="20"/>
          <w:lang w:val="en-GB"/>
        </w:rPr>
        <w:t>Myanmar</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24-26</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However, there is a paucity of literature specifically examining the role of CE to reduce STH infection among MMPs in </w:t>
      </w:r>
      <w:proofErr w:type="gramStart"/>
      <w:r w:rsidRPr="0026193B">
        <w:rPr>
          <w:rFonts w:ascii="Garamond" w:eastAsia="Garamond" w:hAnsi="Garamond" w:cs="Garamond"/>
          <w:color w:val="231F20"/>
          <w:sz w:val="20"/>
          <w:szCs w:val="20"/>
          <w:lang w:val="en-GB"/>
        </w:rPr>
        <w:t>SEA</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8</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w:t>
      </w:r>
      <w:r w:rsidRPr="0026193B">
        <w:rPr>
          <w:rFonts w:ascii="Garamond" w:eastAsia="Garamond" w:hAnsi="Garamond" w:cs="Garamond"/>
          <w:color w:val="231F20"/>
          <w:sz w:val="20"/>
          <w:szCs w:val="20"/>
          <w:lang w:val="en-GB"/>
        </w:rPr>
        <w:lastRenderedPageBreak/>
        <w:t xml:space="preserve">Even if CE is mentioned, it is rarely quantified, meaning little is known about the frequency, motivators or magnitude of participation among MMPs in </w:t>
      </w:r>
      <w:proofErr w:type="gramStart"/>
      <w:r w:rsidRPr="0026193B">
        <w:rPr>
          <w:rFonts w:ascii="Garamond" w:eastAsia="Garamond" w:hAnsi="Garamond" w:cs="Garamond"/>
          <w:color w:val="231F20"/>
          <w:sz w:val="20"/>
          <w:szCs w:val="20"/>
          <w:lang w:val="en-GB"/>
        </w:rPr>
        <w:t>SEA</w:t>
      </w:r>
      <w:r w:rsidR="00FD3AA1">
        <w:rPr>
          <w:rFonts w:ascii="Garamond" w:eastAsia="Garamond" w:hAnsi="Garamond" w:cs="Garamond"/>
          <w:color w:val="231F20"/>
          <w:sz w:val="20"/>
          <w:szCs w:val="20"/>
          <w:lang w:val="en-GB"/>
        </w:rPr>
        <w:t>[</w:t>
      </w:r>
      <w:proofErr w:type="gramEnd"/>
      <w:r w:rsidRPr="0026193B">
        <w:rPr>
          <w:rFonts w:ascii="Garamond" w:eastAsia="Garamond" w:hAnsi="Garamond" w:cs="Garamond"/>
          <w:color w:val="231F20"/>
          <w:sz w:val="20"/>
          <w:szCs w:val="20"/>
          <w:lang w:val="en-GB"/>
        </w:rPr>
        <w:t>24</w:t>
      </w:r>
      <w:r w:rsidR="00FD3AA1">
        <w:rPr>
          <w:rFonts w:ascii="Garamond" w:eastAsia="Garamond" w:hAnsi="Garamond" w:cs="Garamond"/>
          <w:color w:val="231F20"/>
          <w:sz w:val="20"/>
          <w:szCs w:val="20"/>
          <w:lang w:val="en-GB"/>
        </w:rPr>
        <w:t>].</w:t>
      </w:r>
      <w:r w:rsidRPr="0026193B">
        <w:rPr>
          <w:rFonts w:ascii="Garamond" w:eastAsia="Garamond" w:hAnsi="Garamond" w:cs="Garamond"/>
          <w:color w:val="231F20"/>
          <w:sz w:val="20"/>
          <w:szCs w:val="20"/>
          <w:lang w:val="en-GB"/>
        </w:rPr>
        <w:t xml:space="preserve"> This paper seeks to contextualize MMPs in SEA, illustrate STH infection and epidemiology among this population, highlight how CE has historically been incorporated in STH interventions and identify future directions for CE.</w:t>
      </w:r>
    </w:p>
    <w:p w14:paraId="0A843E1E" w14:textId="7B92485D" w:rsidR="00395947" w:rsidRPr="00470725" w:rsidRDefault="00AC5AE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AC5AEB">
        <w:rPr>
          <w:rFonts w:ascii="Garamond" w:eastAsia="Garamond" w:hAnsi="Garamond" w:cs="Garamond"/>
          <w:color w:val="231F20"/>
          <w:sz w:val="20"/>
          <w:szCs w:val="20"/>
        </w:rPr>
        <w:t xml:space="preserve"> </w:t>
      </w:r>
      <w:r w:rsidR="00306140">
        <w:rPr>
          <w:rFonts w:ascii="Garamond" w:eastAsia="Garamond" w:hAnsi="Garamond" w:cs="Garamond"/>
          <w:color w:val="231F20"/>
          <w:sz w:val="20"/>
          <w:szCs w:val="20"/>
        </w:rPr>
        <w:t xml:space="preserve"> </w:t>
      </w:r>
    </w:p>
    <w:p w14:paraId="142FB0CD" w14:textId="77777777" w:rsidR="0026193B" w:rsidRDefault="0026193B" w:rsidP="0026193B">
      <w:pPr>
        <w:widowControl w:val="0"/>
        <w:pBdr>
          <w:top w:val="nil"/>
          <w:left w:val="nil"/>
          <w:bottom w:val="nil"/>
          <w:right w:val="nil"/>
          <w:between w:val="nil"/>
        </w:pBdr>
        <w:spacing w:line="240" w:lineRule="auto"/>
        <w:jc w:val="both"/>
        <w:rPr>
          <w:b/>
          <w:color w:val="009999"/>
          <w:sz w:val="20"/>
          <w:szCs w:val="20"/>
        </w:rPr>
      </w:pPr>
      <w:r w:rsidRPr="0026193B">
        <w:rPr>
          <w:b/>
          <w:color w:val="009999"/>
          <w:sz w:val="20"/>
          <w:szCs w:val="20"/>
        </w:rPr>
        <w:t>EPIDEMIOLOGY</w:t>
      </w:r>
    </w:p>
    <w:p w14:paraId="122D9125" w14:textId="77777777" w:rsidR="0026193B" w:rsidRDefault="0026193B" w:rsidP="0026193B">
      <w:pPr>
        <w:widowControl w:val="0"/>
        <w:pBdr>
          <w:top w:val="nil"/>
          <w:left w:val="nil"/>
          <w:bottom w:val="nil"/>
          <w:right w:val="nil"/>
          <w:between w:val="nil"/>
        </w:pBdr>
        <w:spacing w:line="240" w:lineRule="auto"/>
        <w:jc w:val="both"/>
        <w:rPr>
          <w:b/>
          <w:color w:val="231F20"/>
          <w:sz w:val="20"/>
          <w:szCs w:val="20"/>
        </w:rPr>
      </w:pPr>
      <w:r w:rsidRPr="0026193B">
        <w:rPr>
          <w:b/>
          <w:color w:val="231F20"/>
          <w:sz w:val="20"/>
          <w:szCs w:val="20"/>
        </w:rPr>
        <w:t>Transmission Routes</w:t>
      </w:r>
    </w:p>
    <w:p w14:paraId="09A16CC9" w14:textId="49880C6D"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STHs are transmitted through soil contaminated with helminth eggs found in human </w:t>
      </w:r>
      <w:proofErr w:type="gramStart"/>
      <w:r w:rsidRPr="0026193B">
        <w:rPr>
          <w:rFonts w:ascii="Garamond" w:eastAsia="Garamond" w:hAnsi="Garamond" w:cs="Garamond"/>
          <w:color w:val="231F20"/>
          <w:sz w:val="20"/>
          <w:szCs w:val="20"/>
        </w:rPr>
        <w:t>feces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These eggs infest soil in areas that lack sanitation and can be ingested through multiple routes, including contaminated water sources, foods that are not carefully washed or cooked, walking barefoot and improper </w:t>
      </w:r>
      <w:proofErr w:type="gramStart"/>
      <w:r w:rsidRPr="0026193B">
        <w:rPr>
          <w:rFonts w:ascii="Garamond" w:eastAsia="Garamond" w:hAnsi="Garamond" w:cs="Garamond"/>
          <w:color w:val="231F20"/>
          <w:sz w:val="20"/>
          <w:szCs w:val="20"/>
        </w:rPr>
        <w:t>handwashing</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STHs do not reproduce within the host, but eggs or larvae can remain viable in the soil for weeks to months, especially in warm and humid </w:t>
      </w:r>
      <w:proofErr w:type="gramStart"/>
      <w:r w:rsidRPr="0026193B">
        <w:rPr>
          <w:rFonts w:ascii="Garamond" w:eastAsia="Garamond" w:hAnsi="Garamond" w:cs="Garamond"/>
          <w:color w:val="231F20"/>
          <w:sz w:val="20"/>
          <w:szCs w:val="20"/>
        </w:rPr>
        <w:t>environments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44,</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45</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Due to the nature of their transmission, STHs can be prevented with improved access to WASH, which refers to safely managed water sources, sanitation services and practicing proper </w:t>
      </w:r>
      <w:proofErr w:type="gramStart"/>
      <w:r w:rsidRPr="0026193B">
        <w:rPr>
          <w:rFonts w:ascii="Garamond" w:eastAsia="Garamond" w:hAnsi="Garamond" w:cs="Garamond"/>
          <w:color w:val="231F20"/>
          <w:sz w:val="20"/>
          <w:szCs w:val="20"/>
        </w:rPr>
        <w:t>hygiene</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46</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A component of improved WASH access is CE, where community members become involved in building water and sanitation infrastructure and delivering hygiene education. </w:t>
      </w:r>
    </w:p>
    <w:p w14:paraId="30F50790"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08A48BF6" w14:textId="656C3270" w:rsidR="0026193B" w:rsidRPr="0026193B" w:rsidRDefault="0026193B" w:rsidP="0026193B">
      <w:pPr>
        <w:widowControl w:val="0"/>
        <w:pBdr>
          <w:top w:val="nil"/>
          <w:left w:val="nil"/>
          <w:bottom w:val="nil"/>
          <w:right w:val="nil"/>
          <w:between w:val="nil"/>
        </w:pBdr>
        <w:spacing w:line="240" w:lineRule="auto"/>
        <w:jc w:val="both"/>
        <w:rPr>
          <w:b/>
          <w:color w:val="231F20"/>
          <w:sz w:val="20"/>
          <w:szCs w:val="20"/>
        </w:rPr>
      </w:pPr>
      <w:r w:rsidRPr="0026193B">
        <w:rPr>
          <w:b/>
          <w:color w:val="231F20"/>
          <w:sz w:val="20"/>
          <w:szCs w:val="20"/>
        </w:rPr>
        <w:t>Disease Burden</w:t>
      </w:r>
    </w:p>
    <w:p w14:paraId="3F53C3DC" w14:textId="68E819EE"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With a significant global burden, STHs are responsible for the loss of one point nine seven million disability-adjusted life years (DALYs) as of 2019, which is a decrease from previous years attributed to the increase of preventive chemotherapy in endemic </w:t>
      </w:r>
      <w:proofErr w:type="gramStart"/>
      <w:r w:rsidRPr="0026193B">
        <w:rPr>
          <w:rFonts w:ascii="Garamond" w:eastAsia="Garamond" w:hAnsi="Garamond" w:cs="Garamond"/>
          <w:color w:val="231F20"/>
          <w:sz w:val="20"/>
          <w:szCs w:val="20"/>
        </w:rPr>
        <w:t>countries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However, integrated control programs for NTDs that are supported by WHO or national governments frequently exclude displaced </w:t>
      </w:r>
      <w:proofErr w:type="gramStart"/>
      <w:r w:rsidRPr="0026193B">
        <w:rPr>
          <w:rFonts w:ascii="Garamond" w:eastAsia="Garamond" w:hAnsi="Garamond" w:cs="Garamond"/>
          <w:color w:val="231F20"/>
          <w:sz w:val="20"/>
          <w:szCs w:val="20"/>
        </w:rPr>
        <w:t>populations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44</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Co-infection with other NTDs can exacerbate the health impact and complicate treatment efforts, as these diseases share risk factors and epidemiological patterns, including lack of access to WASH, tropical climate worsened by climate change and geographic location, especially in conflict zones or inaccessible </w:t>
      </w:r>
      <w:proofErr w:type="gramStart"/>
      <w:r w:rsidRPr="0026193B">
        <w:rPr>
          <w:rFonts w:ascii="Garamond" w:eastAsia="Garamond" w:hAnsi="Garamond" w:cs="Garamond"/>
          <w:color w:val="231F20"/>
          <w:sz w:val="20"/>
          <w:szCs w:val="20"/>
        </w:rPr>
        <w:t>areas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3,</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47</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Furthermore, co-infection with multiple STHs is also a common problem of concern in endemic areas</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48</w:t>
      </w:r>
      <w:r w:rsidR="00FD3AA1">
        <w:rPr>
          <w:rFonts w:ascii="Garamond" w:eastAsia="Garamond" w:hAnsi="Garamond" w:cs="Garamond"/>
          <w:color w:val="231F20"/>
          <w:sz w:val="20"/>
          <w:szCs w:val="20"/>
        </w:rPr>
        <w:t>].</w:t>
      </w:r>
    </w:p>
    <w:p w14:paraId="7F5B833A"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0B8DB3A1" w14:textId="68C9A7F9"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STH infections have been found to be one of the main reasons for illnesses among impoverished communities, including </w:t>
      </w:r>
      <w:proofErr w:type="gramStart"/>
      <w:r w:rsidRPr="0026193B">
        <w:rPr>
          <w:rFonts w:ascii="Garamond" w:eastAsia="Garamond" w:hAnsi="Garamond" w:cs="Garamond"/>
          <w:color w:val="231F20"/>
          <w:sz w:val="20"/>
          <w:szCs w:val="20"/>
        </w:rPr>
        <w:t>MMPs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49</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In investigating intestinal parasitic infections among SEA migrant workers in varying industries, researchers found that the prevalence of intestinal parasitic infections doubled since previous studies done over the last decade, specifically A. lumbricoides (43.3%) and hookworm (13.1%). This prevalence is likely due to poor living conditions, a lack of sanitation, poor drainage, unplanned urbanization, unhygienic practices, a lack of health awareness exacerbated by poor CE and low socioeconomic status, which call for a further need for hygiene, sanitation and </w:t>
      </w:r>
      <w:proofErr w:type="gramStart"/>
      <w:r w:rsidRPr="0026193B">
        <w:rPr>
          <w:rFonts w:ascii="Garamond" w:eastAsia="Garamond" w:hAnsi="Garamond" w:cs="Garamond"/>
          <w:color w:val="231F20"/>
          <w:sz w:val="20"/>
          <w:szCs w:val="20"/>
        </w:rPr>
        <w:t>cleanliness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49</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Therefore, a lack of access to safe WASH, resulting in increased STH prevalence in the environment, increases the likelihood of </w:t>
      </w:r>
      <w:proofErr w:type="gramStart"/>
      <w:r w:rsidRPr="0026193B">
        <w:rPr>
          <w:rFonts w:ascii="Garamond" w:eastAsia="Garamond" w:hAnsi="Garamond" w:cs="Garamond"/>
          <w:color w:val="231F20"/>
          <w:sz w:val="20"/>
          <w:szCs w:val="20"/>
        </w:rPr>
        <w:t>reinfection</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2,</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50,</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Inadequate sanitation services, such as lack of private toilets, latrines or functional sewage systems, are often the result of temporary housing created out of necessity by displaced </w:t>
      </w:r>
      <w:proofErr w:type="gramStart"/>
      <w:r w:rsidRPr="0026193B">
        <w:rPr>
          <w:rFonts w:ascii="Garamond" w:eastAsia="Garamond" w:hAnsi="Garamond" w:cs="Garamond"/>
          <w:color w:val="231F20"/>
          <w:sz w:val="20"/>
          <w:szCs w:val="20"/>
        </w:rPr>
        <w:t>populations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38,</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44</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w:t>
      </w:r>
    </w:p>
    <w:p w14:paraId="7578A1BC"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5630DFC2" w14:textId="55471248"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Prevalence of STH infections among migrant workers may be affected by the region’s temperature, humidity, and geography, which all influence helminth reproduction as NTDs primarily affect tropical areas. According to a cross-sectional study conducted in northeast Thailand, 22% of 600 Burmese migrant workers in the study were infected with STHs, most prominently </w:t>
      </w:r>
      <w:proofErr w:type="gramStart"/>
      <w:r w:rsidRPr="0026193B">
        <w:rPr>
          <w:rFonts w:ascii="Garamond" w:eastAsia="Garamond" w:hAnsi="Garamond" w:cs="Garamond"/>
          <w:color w:val="231F20"/>
          <w:sz w:val="20"/>
          <w:szCs w:val="20"/>
        </w:rPr>
        <w:t>hookworm</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52</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Researchers found high variability in STH infections according to the workers’ region of origin, poor sanitation—specifically </w:t>
      </w:r>
      <w:proofErr w:type="gramStart"/>
      <w:r w:rsidRPr="0026193B">
        <w:rPr>
          <w:rFonts w:ascii="Garamond" w:eastAsia="Garamond" w:hAnsi="Garamond" w:cs="Garamond"/>
          <w:color w:val="231F20"/>
          <w:sz w:val="20"/>
          <w:szCs w:val="20"/>
        </w:rPr>
        <w:t>in migrant</w:t>
      </w:r>
      <w:proofErr w:type="gramEnd"/>
      <w:r w:rsidRPr="0026193B">
        <w:rPr>
          <w:rFonts w:ascii="Garamond" w:eastAsia="Garamond" w:hAnsi="Garamond" w:cs="Garamond"/>
          <w:color w:val="231F20"/>
          <w:sz w:val="20"/>
          <w:szCs w:val="20"/>
        </w:rPr>
        <w:t xml:space="preserve"> camps—and amount of interaction with the soil due to the nature of their work.</w:t>
      </w:r>
    </w:p>
    <w:p w14:paraId="535788F9"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10DB8768" w14:textId="5FC8AE2D"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Disease burden is especially high in women and children of MMPs due to exacerbated difficulties in accessing </w:t>
      </w:r>
      <w:proofErr w:type="gramStart"/>
      <w:r w:rsidRPr="0026193B">
        <w:rPr>
          <w:rFonts w:ascii="Garamond" w:eastAsia="Garamond" w:hAnsi="Garamond" w:cs="Garamond"/>
          <w:color w:val="231F20"/>
          <w:sz w:val="20"/>
          <w:szCs w:val="20"/>
        </w:rPr>
        <w:t>healthcare</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16</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Pregnant women, specifically in the third and second trimesters, are defined as people at high risk of STH </w:t>
      </w:r>
      <w:proofErr w:type="gramStart"/>
      <w:r w:rsidRPr="0026193B">
        <w:rPr>
          <w:rFonts w:ascii="Garamond" w:eastAsia="Garamond" w:hAnsi="Garamond" w:cs="Garamond"/>
          <w:color w:val="231F20"/>
          <w:sz w:val="20"/>
          <w:szCs w:val="20"/>
        </w:rPr>
        <w:t>infections</w:t>
      </w:r>
      <w:r w:rsidR="00FD3AA1">
        <w:rPr>
          <w:rFonts w:ascii="Garamond" w:eastAsia="Garamond" w:hAnsi="Garamond" w:cs="Garamond"/>
          <w:color w:val="231F20"/>
          <w:sz w:val="20"/>
          <w:szCs w:val="20"/>
        </w:rPr>
        <w:t>[</w:t>
      </w:r>
      <w:proofErr w:type="gramEnd"/>
      <w:r w:rsidR="00FD3AA1">
        <w:rPr>
          <w:rFonts w:ascii="Garamond" w:eastAsia="Garamond" w:hAnsi="Garamond" w:cs="Garamond"/>
          <w:color w:val="231F20"/>
          <w:sz w:val="20"/>
          <w:szCs w:val="20"/>
        </w:rPr>
        <w:t>1].</w:t>
      </w:r>
      <w:r w:rsidRPr="0026193B">
        <w:rPr>
          <w:rFonts w:ascii="Garamond" w:eastAsia="Garamond" w:hAnsi="Garamond" w:cs="Garamond"/>
          <w:color w:val="231F20"/>
          <w:sz w:val="20"/>
          <w:szCs w:val="20"/>
        </w:rPr>
        <w:t xml:space="preserve"> Researchers identified that twenty-one percent of a sample of 12,742 pregnant women refugees and migrants on the Thailand-Myanmar border, had either one or multiple STH </w:t>
      </w:r>
      <w:proofErr w:type="gramStart"/>
      <w:r w:rsidRPr="0026193B">
        <w:rPr>
          <w:rFonts w:ascii="Garamond" w:eastAsia="Garamond" w:hAnsi="Garamond" w:cs="Garamond"/>
          <w:color w:val="231F20"/>
          <w:sz w:val="20"/>
          <w:szCs w:val="20"/>
        </w:rPr>
        <w:t>infections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9</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In an anthropometric study investigating 416 young and adolescent children residing in an FDMN camp in Bangladesh, the prevalence of STH infection was 91.7% at baseline, with co-infections existing to some </w:t>
      </w:r>
      <w:proofErr w:type="gramStart"/>
      <w:r w:rsidRPr="0026193B">
        <w:rPr>
          <w:rFonts w:ascii="Garamond" w:eastAsia="Garamond" w:hAnsi="Garamond" w:cs="Garamond"/>
          <w:color w:val="231F20"/>
          <w:sz w:val="20"/>
          <w:szCs w:val="20"/>
        </w:rPr>
        <w:t>extent</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11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Furthermore, researchers saw increases in local inflammatory responses that could be linked to STH infection and may have contributed to stunting in school-aged children of FDMNs. Thus, prevalence of STH infection remains high among MMPs, especially women and children, and underscores the necessity of better incorporating the voices of this community when it comes to intervention development and implementation.</w:t>
      </w:r>
    </w:p>
    <w:p w14:paraId="2DD6C9B0"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64BADB1A" w14:textId="77777777" w:rsidR="001B254F" w:rsidRDefault="001B254F" w:rsidP="0026193B">
      <w:pPr>
        <w:widowControl w:val="0"/>
        <w:pBdr>
          <w:top w:val="nil"/>
          <w:left w:val="nil"/>
          <w:bottom w:val="nil"/>
          <w:right w:val="nil"/>
          <w:between w:val="nil"/>
        </w:pBdr>
        <w:spacing w:line="240" w:lineRule="auto"/>
        <w:jc w:val="both"/>
        <w:rPr>
          <w:b/>
          <w:color w:val="231F20"/>
          <w:sz w:val="20"/>
          <w:szCs w:val="20"/>
        </w:rPr>
      </w:pPr>
    </w:p>
    <w:p w14:paraId="615879BA" w14:textId="77777777" w:rsidR="001B254F" w:rsidRDefault="001B254F" w:rsidP="0026193B">
      <w:pPr>
        <w:widowControl w:val="0"/>
        <w:pBdr>
          <w:top w:val="nil"/>
          <w:left w:val="nil"/>
          <w:bottom w:val="nil"/>
          <w:right w:val="nil"/>
          <w:between w:val="nil"/>
        </w:pBdr>
        <w:spacing w:line="240" w:lineRule="auto"/>
        <w:jc w:val="both"/>
        <w:rPr>
          <w:b/>
          <w:color w:val="231F20"/>
          <w:sz w:val="20"/>
          <w:szCs w:val="20"/>
        </w:rPr>
      </w:pPr>
    </w:p>
    <w:p w14:paraId="7B9D54D2" w14:textId="6F747279"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b/>
          <w:color w:val="231F20"/>
          <w:sz w:val="20"/>
          <w:szCs w:val="20"/>
        </w:rPr>
        <w:lastRenderedPageBreak/>
        <w:t>Treatment</w:t>
      </w:r>
    </w:p>
    <w:p w14:paraId="6BF69780" w14:textId="18D75DAB"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MDA plays an essential role in the treatment of STH infections, as STHs do not induce a strong acquired immune response; however, MDA cannot prevent STH </w:t>
      </w:r>
      <w:proofErr w:type="gramStart"/>
      <w:r w:rsidRPr="0026193B">
        <w:rPr>
          <w:rFonts w:ascii="Garamond" w:eastAsia="Garamond" w:hAnsi="Garamond" w:cs="Garamond"/>
          <w:color w:val="231F20"/>
          <w:sz w:val="20"/>
          <w:szCs w:val="20"/>
        </w:rPr>
        <w:t>reinfection</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50,</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51</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The likelihood of reinfection is correlated with pre-treatment infection status based on egg count, as well as overall exposure to STH eggs and larvae, which is influenced by the rate of migration of </w:t>
      </w:r>
      <w:proofErr w:type="gramStart"/>
      <w:r w:rsidRPr="0026193B">
        <w:rPr>
          <w:rFonts w:ascii="Garamond" w:eastAsia="Garamond" w:hAnsi="Garamond" w:cs="Garamond"/>
          <w:color w:val="231F20"/>
          <w:sz w:val="20"/>
          <w:szCs w:val="20"/>
        </w:rPr>
        <w:t>individuals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42,</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53</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Researchers found that six months post-treatment, the prevalence of infections decreased by about </w:t>
      </w:r>
      <w:proofErr w:type="gramStart"/>
      <w:r w:rsidRPr="0026193B">
        <w:rPr>
          <w:rFonts w:ascii="Garamond" w:eastAsia="Garamond" w:hAnsi="Garamond" w:cs="Garamond"/>
          <w:color w:val="231F20"/>
          <w:sz w:val="20"/>
          <w:szCs w:val="20"/>
        </w:rPr>
        <w:t>half</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53</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Yet, about 12 months later, the prevalence was similar to pre-treatment levels. The frequency required for MDA is dependent on the rate and intensity of </w:t>
      </w:r>
      <w:proofErr w:type="gramStart"/>
      <w:r w:rsidRPr="0026193B">
        <w:rPr>
          <w:rFonts w:ascii="Garamond" w:eastAsia="Garamond" w:hAnsi="Garamond" w:cs="Garamond"/>
          <w:color w:val="231F20"/>
          <w:sz w:val="20"/>
          <w:szCs w:val="20"/>
        </w:rPr>
        <w:t>transmission</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42</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Additionally, there are concerns about inadequate drug efficacy, which may be attributable to growing drug resistance in certain STH </w:t>
      </w:r>
      <w:proofErr w:type="gramStart"/>
      <w:r w:rsidRPr="0026193B">
        <w:rPr>
          <w:rFonts w:ascii="Garamond" w:eastAsia="Garamond" w:hAnsi="Garamond" w:cs="Garamond"/>
          <w:color w:val="231F20"/>
          <w:sz w:val="20"/>
          <w:szCs w:val="20"/>
        </w:rPr>
        <w:t>species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There is a need for frequent access to quality drug administration, targeting those that are commonly reinfected, as well as an emphasis on other prevention strategies such as education and sanitation complemented by CE to address the transmission and burden of STH </w:t>
      </w:r>
      <w:proofErr w:type="gramStart"/>
      <w:r w:rsidRPr="0026193B">
        <w:rPr>
          <w:rFonts w:ascii="Garamond" w:eastAsia="Garamond" w:hAnsi="Garamond" w:cs="Garamond"/>
          <w:color w:val="231F20"/>
          <w:sz w:val="20"/>
          <w:szCs w:val="20"/>
        </w:rPr>
        <w:t>infections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50,</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53</w:t>
      </w:r>
      <w:r w:rsidR="00FD3AA1">
        <w:rPr>
          <w:rFonts w:ascii="Garamond" w:eastAsia="Garamond" w:hAnsi="Garamond" w:cs="Garamond"/>
          <w:color w:val="231F20"/>
          <w:sz w:val="20"/>
          <w:szCs w:val="20"/>
        </w:rPr>
        <w:t>].</w:t>
      </w:r>
    </w:p>
    <w:p w14:paraId="0E8A99B3"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7CC60049" w14:textId="77777777" w:rsidR="0026193B" w:rsidRDefault="0026193B" w:rsidP="00B71A71">
      <w:pPr>
        <w:widowControl w:val="0"/>
        <w:pBdr>
          <w:top w:val="nil"/>
          <w:left w:val="nil"/>
          <w:bottom w:val="nil"/>
          <w:right w:val="nil"/>
          <w:between w:val="nil"/>
        </w:pBdr>
        <w:spacing w:line="240" w:lineRule="auto"/>
        <w:jc w:val="both"/>
        <w:rPr>
          <w:b/>
          <w:color w:val="009999"/>
          <w:sz w:val="20"/>
          <w:szCs w:val="20"/>
        </w:rPr>
      </w:pPr>
      <w:r w:rsidRPr="0026193B">
        <w:rPr>
          <w:b/>
          <w:color w:val="009999"/>
          <w:sz w:val="20"/>
          <w:szCs w:val="20"/>
        </w:rPr>
        <w:t>COMMUNITY ENGAGEMENT</w:t>
      </w:r>
    </w:p>
    <w:p w14:paraId="64C24E06" w14:textId="5EF0B102" w:rsidR="0026193B" w:rsidRDefault="0026193B" w:rsidP="00CF1329">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 xml:space="preserve">Despite the importance of CE in mobilizing behavioral change and influencing existing systems and the stressed need for community-directed strategies for STH research, intervention development and implementation, little research exists examining the impact of CE on STH infection in SEA, particularly in </w:t>
      </w:r>
      <w:proofErr w:type="gramStart"/>
      <w:r w:rsidRPr="0026193B">
        <w:rPr>
          <w:rFonts w:ascii="Garamond" w:eastAsia="Garamond" w:hAnsi="Garamond" w:cs="Garamond"/>
          <w:color w:val="231F20"/>
          <w:sz w:val="20"/>
          <w:szCs w:val="20"/>
        </w:rPr>
        <w:t>MMPs</w:t>
      </w:r>
      <w:r w:rsidR="00FD3AA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8,</w:t>
      </w:r>
      <w:r w:rsidR="00FD3AA1">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54</w:t>
      </w:r>
      <w:r w:rsidR="00FD3AA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We argue here that CE is a necessary component in the ethical development and implementation of interventions that address STHs in this population. In terms of research, CE emphasizes participatory practices, incorporating community members into the framework of the research study and thus creates a collaboration between the study population and the </w:t>
      </w:r>
      <w:proofErr w:type="gramStart"/>
      <w:r w:rsidRPr="0026193B">
        <w:rPr>
          <w:rFonts w:ascii="Garamond" w:eastAsia="Garamond" w:hAnsi="Garamond" w:cs="Garamond"/>
          <w:color w:val="231F20"/>
          <w:sz w:val="20"/>
          <w:szCs w:val="20"/>
        </w:rPr>
        <w:t>researchers</w:t>
      </w:r>
      <w:r w:rsidR="001759EB">
        <w:rPr>
          <w:rFonts w:ascii="Garamond" w:eastAsia="Garamond" w:hAnsi="Garamond" w:cs="Garamond"/>
          <w:color w:val="231F20"/>
          <w:sz w:val="20"/>
          <w:szCs w:val="20"/>
        </w:rPr>
        <w:t>[</w:t>
      </w:r>
      <w:proofErr w:type="gramEnd"/>
      <w:r w:rsidR="001759EB">
        <w:rPr>
          <w:rFonts w:ascii="Garamond" w:eastAsia="Garamond" w:hAnsi="Garamond" w:cs="Garamond"/>
          <w:color w:val="231F20"/>
          <w:sz w:val="20"/>
          <w:szCs w:val="20"/>
        </w:rPr>
        <w:t>1</w:t>
      </w:r>
      <w:r w:rsidRPr="0026193B">
        <w:rPr>
          <w:rFonts w:ascii="Garamond" w:eastAsia="Garamond" w:hAnsi="Garamond" w:cs="Garamond"/>
          <w:color w:val="231F20"/>
          <w:sz w:val="20"/>
          <w:szCs w:val="20"/>
        </w:rPr>
        <w:t>7</w:t>
      </w:r>
      <w:r w:rsidR="001759EB">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When health research and healthcare initiatives do not consider community needs and interests, it can result in reduced intervention and policy </w:t>
      </w:r>
      <w:proofErr w:type="gramStart"/>
      <w:r w:rsidRPr="0026193B">
        <w:rPr>
          <w:rFonts w:ascii="Garamond" w:eastAsia="Garamond" w:hAnsi="Garamond" w:cs="Garamond"/>
          <w:color w:val="231F20"/>
          <w:sz w:val="20"/>
          <w:szCs w:val="20"/>
        </w:rPr>
        <w:t>efficacy</w:t>
      </w:r>
      <w:r w:rsidR="001759EB">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55</w:t>
      </w:r>
      <w:r w:rsidR="001759EB">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Although many health initiatives claim to incorporate CE, efforts are sometimes symbolic and marginalizing, ultimately leaving the community left out and disconnected. Improving accessibility to information, including improving access to public decision-making spaces and collaboration between community members and leaders are some layers to incorporate effective </w:t>
      </w:r>
      <w:proofErr w:type="gramStart"/>
      <w:r w:rsidRPr="0026193B">
        <w:rPr>
          <w:rFonts w:ascii="Garamond" w:eastAsia="Garamond" w:hAnsi="Garamond" w:cs="Garamond"/>
          <w:color w:val="231F20"/>
          <w:sz w:val="20"/>
          <w:szCs w:val="20"/>
        </w:rPr>
        <w:t>CE</w:t>
      </w:r>
      <w:r w:rsidR="001759EB">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56,</w:t>
      </w:r>
      <w:r w:rsidR="001759EB">
        <w:rPr>
          <w:rFonts w:ascii="Garamond" w:eastAsia="Garamond" w:hAnsi="Garamond" w:cs="Garamond"/>
          <w:color w:val="231F20"/>
          <w:sz w:val="20"/>
          <w:szCs w:val="20"/>
        </w:rPr>
        <w:t xml:space="preserve"> </w:t>
      </w:r>
      <w:r w:rsidRPr="0026193B">
        <w:rPr>
          <w:rFonts w:ascii="Garamond" w:eastAsia="Garamond" w:hAnsi="Garamond" w:cs="Garamond"/>
          <w:color w:val="231F20"/>
          <w:sz w:val="20"/>
          <w:szCs w:val="20"/>
        </w:rPr>
        <w:t>57</w:t>
      </w:r>
      <w:r w:rsidR="001759EB">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w:t>
      </w:r>
    </w:p>
    <w:p w14:paraId="096F6689"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2D14A55C" w14:textId="3F539632" w:rsidR="0052206E"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rFonts w:ascii="Garamond" w:eastAsia="Garamond" w:hAnsi="Garamond" w:cs="Garamond"/>
          <w:color w:val="231F20"/>
          <w:sz w:val="20"/>
          <w:szCs w:val="20"/>
        </w:rPr>
        <w:t>According to WHO, four levels of approaches to CE exist: community-oriented, community-based, community-managed and community-</w:t>
      </w:r>
      <w:proofErr w:type="gramStart"/>
      <w:r w:rsidRPr="0026193B">
        <w:rPr>
          <w:rFonts w:ascii="Garamond" w:eastAsia="Garamond" w:hAnsi="Garamond" w:cs="Garamond"/>
          <w:color w:val="231F20"/>
          <w:sz w:val="20"/>
          <w:szCs w:val="20"/>
        </w:rPr>
        <w:t>owned</w:t>
      </w:r>
      <w:r w:rsidR="00E7757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58</w:t>
      </w:r>
      <w:r w:rsidR="00E7757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At each subsequent level, involvement increases to the point where the community is completely equipped to self-govern, develop and implement interventions and work with partners. To achieve this level of CE, researchers must be flexible, establish trust with community leaders, clarify the objectives, risks and benefits of research studies and programs, operate on the community’s timeline and consult with </w:t>
      </w:r>
      <w:proofErr w:type="gramStart"/>
      <w:r w:rsidRPr="0026193B">
        <w:rPr>
          <w:rFonts w:ascii="Garamond" w:eastAsia="Garamond" w:hAnsi="Garamond" w:cs="Garamond"/>
          <w:color w:val="231F20"/>
          <w:sz w:val="20"/>
          <w:szCs w:val="20"/>
        </w:rPr>
        <w:t>stakeholders</w:t>
      </w:r>
      <w:r w:rsidR="00E7757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58</w:t>
      </w:r>
      <w:r w:rsidR="00E77571">
        <w:rPr>
          <w:rFonts w:ascii="Garamond" w:eastAsia="Garamond" w:hAnsi="Garamond" w:cs="Garamond"/>
          <w:color w:val="231F20"/>
          <w:sz w:val="20"/>
          <w:szCs w:val="20"/>
        </w:rPr>
        <w:t>].</w:t>
      </w:r>
      <w:r w:rsidRPr="0026193B">
        <w:rPr>
          <w:rFonts w:ascii="Garamond" w:eastAsia="Garamond" w:hAnsi="Garamond" w:cs="Garamond"/>
          <w:color w:val="231F20"/>
          <w:sz w:val="20"/>
          <w:szCs w:val="20"/>
        </w:rPr>
        <w:t xml:space="preserve"> Implementation of these approaches should be centered around understanding factors such as MMPs’ historical experiences, cultural perspectives and relationships with existing healthcare </w:t>
      </w:r>
      <w:proofErr w:type="gramStart"/>
      <w:r w:rsidRPr="0026193B">
        <w:rPr>
          <w:rFonts w:ascii="Garamond" w:eastAsia="Garamond" w:hAnsi="Garamond" w:cs="Garamond"/>
          <w:color w:val="231F20"/>
          <w:sz w:val="20"/>
          <w:szCs w:val="20"/>
        </w:rPr>
        <w:t>systems</w:t>
      </w:r>
      <w:r w:rsidR="00E77571">
        <w:rPr>
          <w:rFonts w:ascii="Garamond" w:eastAsia="Garamond" w:hAnsi="Garamond" w:cs="Garamond"/>
          <w:color w:val="231F20"/>
          <w:sz w:val="20"/>
          <w:szCs w:val="20"/>
        </w:rPr>
        <w:t>[</w:t>
      </w:r>
      <w:proofErr w:type="gramEnd"/>
      <w:r w:rsidRPr="0026193B">
        <w:rPr>
          <w:rFonts w:ascii="Garamond" w:eastAsia="Garamond" w:hAnsi="Garamond" w:cs="Garamond"/>
          <w:color w:val="231F20"/>
          <w:sz w:val="20"/>
          <w:szCs w:val="20"/>
        </w:rPr>
        <w:t>26</w:t>
      </w:r>
      <w:r w:rsidR="00E77571">
        <w:rPr>
          <w:rFonts w:ascii="Garamond" w:eastAsia="Garamond" w:hAnsi="Garamond" w:cs="Garamond"/>
          <w:color w:val="231F20"/>
          <w:sz w:val="20"/>
          <w:szCs w:val="20"/>
        </w:rPr>
        <w:t>].</w:t>
      </w:r>
    </w:p>
    <w:p w14:paraId="3162FD4A"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129E7C48" w14:textId="77777777" w:rsidR="0026193B" w:rsidRDefault="0026193B" w:rsidP="005A3E39">
      <w:pPr>
        <w:widowControl w:val="0"/>
        <w:pBdr>
          <w:top w:val="nil"/>
          <w:left w:val="nil"/>
          <w:bottom w:val="nil"/>
          <w:right w:val="nil"/>
          <w:between w:val="nil"/>
        </w:pBdr>
        <w:spacing w:line="240" w:lineRule="auto"/>
        <w:jc w:val="both"/>
        <w:rPr>
          <w:b/>
          <w:color w:val="231F20"/>
          <w:sz w:val="20"/>
          <w:szCs w:val="20"/>
        </w:rPr>
      </w:pPr>
      <w:bookmarkStart w:id="0" w:name="_Hlk94868390"/>
      <w:r w:rsidRPr="0026193B">
        <w:rPr>
          <w:b/>
          <w:color w:val="231F20"/>
          <w:sz w:val="20"/>
          <w:szCs w:val="20"/>
        </w:rPr>
        <w:t>Community Perceptions of STH Treatment and Surveillance</w:t>
      </w:r>
    </w:p>
    <w:bookmarkEnd w:id="0"/>
    <w:p w14:paraId="1A4C9E53" w14:textId="595D2824"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Based on our review of the literature, we argue that understanding the perceptions of MMPs with respect to treatment and surveillance is needed to effectively mobilize CE. Properly recognizing community concerns allows for proposed interventions to be adapted in collaboration with trusted community leaders, thereby addressing specific </w:t>
      </w:r>
      <w:proofErr w:type="gramStart"/>
      <w:r w:rsidRPr="0026193B">
        <w:rPr>
          <w:rFonts w:ascii="Garamond" w:eastAsia="Garamond" w:hAnsi="Garamond" w:cs="Garamond"/>
          <w:color w:val="231F20"/>
          <w:sz w:val="20"/>
          <w:szCs w:val="20"/>
          <w:lang w:bidi="en-US"/>
        </w:rPr>
        <w:t>needs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59</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In urban settings, where the flow of migrants in search of work or housing can be constant and one’s neighbors are often strangers, it can be challenging to build trust and rumors spread </w:t>
      </w:r>
      <w:proofErr w:type="gramStart"/>
      <w:r w:rsidRPr="0026193B">
        <w:rPr>
          <w:rFonts w:ascii="Garamond" w:eastAsia="Garamond" w:hAnsi="Garamond" w:cs="Garamond"/>
          <w:color w:val="231F20"/>
          <w:sz w:val="20"/>
          <w:szCs w:val="20"/>
          <w:lang w:bidi="en-US"/>
        </w:rPr>
        <w:t>rapidly</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48</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Without customization of NTD control methods—such as MDA campaigns—to better align with the transient nature of MMPs, resonate with their cultural and personal beliefs and involve trusted individuals, there are significant barriers of non-compliance and non-</w:t>
      </w:r>
      <w:proofErr w:type="gramStart"/>
      <w:r w:rsidRPr="0026193B">
        <w:rPr>
          <w:rFonts w:ascii="Garamond" w:eastAsia="Garamond" w:hAnsi="Garamond" w:cs="Garamond"/>
          <w:color w:val="231F20"/>
          <w:sz w:val="20"/>
          <w:szCs w:val="20"/>
          <w:lang w:bidi="en-US"/>
        </w:rPr>
        <w:t>participation</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52,</w:t>
      </w:r>
      <w:r w:rsidR="00E77571">
        <w:rPr>
          <w:rFonts w:ascii="Garamond" w:eastAsia="Garamond" w:hAnsi="Garamond" w:cs="Garamond"/>
          <w:color w:val="231F20"/>
          <w:sz w:val="20"/>
          <w:szCs w:val="20"/>
          <w:lang w:bidi="en-US"/>
        </w:rPr>
        <w:t xml:space="preserve"> </w:t>
      </w:r>
      <w:r w:rsidRPr="0026193B">
        <w:rPr>
          <w:rFonts w:ascii="Garamond" w:eastAsia="Garamond" w:hAnsi="Garamond" w:cs="Garamond"/>
          <w:color w:val="231F20"/>
          <w:sz w:val="20"/>
          <w:szCs w:val="20"/>
          <w:lang w:bidi="en-US"/>
        </w:rPr>
        <w:t>61</w:t>
      </w:r>
      <w:r w:rsidR="00E77571">
        <w:rPr>
          <w:rFonts w:ascii="Garamond" w:eastAsia="Garamond" w:hAnsi="Garamond" w:cs="Garamond"/>
          <w:color w:val="231F20"/>
          <w:sz w:val="20"/>
          <w:szCs w:val="20"/>
          <w:lang w:bidi="en-US"/>
        </w:rPr>
        <w:t>].</w:t>
      </w:r>
    </w:p>
    <w:p w14:paraId="1E030CB0"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08629B77" w14:textId="3480D009"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Community perceptions of drug effectiveness heavily influence MDA </w:t>
      </w:r>
      <w:proofErr w:type="gramStart"/>
      <w:r w:rsidRPr="0026193B">
        <w:rPr>
          <w:rFonts w:ascii="Garamond" w:eastAsia="Garamond" w:hAnsi="Garamond" w:cs="Garamond"/>
          <w:color w:val="231F20"/>
          <w:sz w:val="20"/>
          <w:szCs w:val="20"/>
          <w:lang w:bidi="en-US"/>
        </w:rPr>
        <w:t>compliance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If community members perceive the drugs as ineffective, they are less likely to participate in MDA, opting instead to self-medicate. In some instances, participation in MDA may only be perceived as necessary when an individual is symptomatic, when others in the community participate and support the program and when parents approve the program, particularly regarding school-based STH </w:t>
      </w:r>
      <w:proofErr w:type="gramStart"/>
      <w:r w:rsidRPr="0026193B">
        <w:rPr>
          <w:rFonts w:ascii="Garamond" w:eastAsia="Garamond" w:hAnsi="Garamond" w:cs="Garamond"/>
          <w:color w:val="231F20"/>
          <w:sz w:val="20"/>
          <w:szCs w:val="20"/>
          <w:lang w:bidi="en-US"/>
        </w:rPr>
        <w:t>interventions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63</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Even when communities are more informed about treatment of STH infections, their perception of the drugs impacts the outcomes and uptake of MDA. Researchers found that participants within the community were able to correctly identify causes, symptoms and prevention methods, including hygiene improvement and usage of toilets, of STH </w:t>
      </w:r>
      <w:proofErr w:type="gramStart"/>
      <w:r w:rsidRPr="0026193B">
        <w:rPr>
          <w:rFonts w:ascii="Garamond" w:eastAsia="Garamond" w:hAnsi="Garamond" w:cs="Garamond"/>
          <w:color w:val="231F20"/>
          <w:sz w:val="20"/>
          <w:szCs w:val="20"/>
          <w:lang w:bidi="en-US"/>
        </w:rPr>
        <w:t>infections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However, doubts from the community about side effects and drug effectiveness will still determine the success of MDA </w:t>
      </w:r>
      <w:proofErr w:type="gramStart"/>
      <w:r w:rsidRPr="0026193B">
        <w:rPr>
          <w:rFonts w:ascii="Garamond" w:eastAsia="Garamond" w:hAnsi="Garamond" w:cs="Garamond"/>
          <w:color w:val="231F20"/>
          <w:sz w:val="20"/>
          <w:szCs w:val="20"/>
          <w:lang w:bidi="en-US"/>
        </w:rPr>
        <w:t>programs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Misconceptions about the safety of the drugs were prevalent among a community in Ogun State, </w:t>
      </w:r>
      <w:proofErr w:type="gramStart"/>
      <w:r w:rsidRPr="0026193B">
        <w:rPr>
          <w:rFonts w:ascii="Garamond" w:eastAsia="Garamond" w:hAnsi="Garamond" w:cs="Garamond"/>
          <w:color w:val="231F20"/>
          <w:sz w:val="20"/>
          <w:szCs w:val="20"/>
          <w:lang w:bidi="en-US"/>
        </w:rPr>
        <w:t>Nigeri</w:t>
      </w:r>
      <w:r w:rsidR="00E77571">
        <w:rPr>
          <w:rFonts w:ascii="Garamond" w:eastAsia="Garamond" w:hAnsi="Garamond" w:cs="Garamond"/>
          <w:color w:val="231F20"/>
          <w:sz w:val="20"/>
          <w:szCs w:val="20"/>
          <w:lang w:bidi="en-US"/>
        </w:rPr>
        <w:t>a[</w:t>
      </w:r>
      <w:proofErr w:type="gramEnd"/>
      <w:r w:rsidRPr="0026193B">
        <w:rPr>
          <w:rFonts w:ascii="Garamond" w:eastAsia="Garamond" w:hAnsi="Garamond" w:cs="Garamond"/>
          <w:color w:val="231F20"/>
          <w:sz w:val="20"/>
          <w:szCs w:val="20"/>
          <w:lang w:bidi="en-US"/>
        </w:rPr>
        <w:t>64</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Participants believed that one had to be strong before taking the drug, resulting in parents discouraging their children from participating in school-based MDA due to lack of strength and the risk of </w:t>
      </w:r>
      <w:r w:rsidRPr="0026193B">
        <w:rPr>
          <w:rFonts w:ascii="Garamond" w:eastAsia="Garamond" w:hAnsi="Garamond" w:cs="Garamond"/>
          <w:color w:val="231F20"/>
          <w:sz w:val="20"/>
          <w:szCs w:val="20"/>
          <w:lang w:bidi="en-US"/>
        </w:rPr>
        <w:lastRenderedPageBreak/>
        <w:t xml:space="preserve">developing side </w:t>
      </w:r>
      <w:proofErr w:type="gramStart"/>
      <w:r w:rsidRPr="0026193B">
        <w:rPr>
          <w:rFonts w:ascii="Garamond" w:eastAsia="Garamond" w:hAnsi="Garamond" w:cs="Garamond"/>
          <w:color w:val="231F20"/>
          <w:sz w:val="20"/>
          <w:szCs w:val="20"/>
          <w:lang w:bidi="en-US"/>
        </w:rPr>
        <w:t>effects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64</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Long-standing cultural practices can further influence community perceptions and conflict with disseminated information, therefore inhibiting behavior change; a more historical paper suggests that some parents in the Philippines conclude that MDA of anthelmintic medication is not </w:t>
      </w:r>
      <w:proofErr w:type="spellStart"/>
      <w:r w:rsidRPr="0026193B">
        <w:rPr>
          <w:rFonts w:ascii="Garamond" w:eastAsia="Garamond" w:hAnsi="Garamond" w:cs="Garamond"/>
          <w:color w:val="231F20"/>
          <w:sz w:val="20"/>
          <w:szCs w:val="20"/>
          <w:lang w:bidi="en-US"/>
        </w:rPr>
        <w:t>hiyang</w:t>
      </w:r>
      <w:proofErr w:type="spellEnd"/>
      <w:r w:rsidRPr="0026193B">
        <w:rPr>
          <w:rFonts w:ascii="Garamond" w:eastAsia="Garamond" w:hAnsi="Garamond" w:cs="Garamond"/>
          <w:color w:val="231F20"/>
          <w:sz w:val="20"/>
          <w:szCs w:val="20"/>
          <w:lang w:bidi="en-US"/>
        </w:rPr>
        <w:t xml:space="preserve">—compatible with an individual’s physiology—with their child and will therefore be </w:t>
      </w:r>
      <w:proofErr w:type="gramStart"/>
      <w:r w:rsidRPr="0026193B">
        <w:rPr>
          <w:rFonts w:ascii="Garamond" w:eastAsia="Garamond" w:hAnsi="Garamond" w:cs="Garamond"/>
          <w:color w:val="231F20"/>
          <w:sz w:val="20"/>
          <w:szCs w:val="20"/>
          <w:lang w:bidi="en-US"/>
        </w:rPr>
        <w:t>ineffective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65</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Both severe reactions to the medication resulting in side effects and the emergence of dead helminths also lead parents to believe the medication is incompatible and </w:t>
      </w:r>
      <w:proofErr w:type="gramStart"/>
      <w:r w:rsidRPr="0026193B">
        <w:rPr>
          <w:rFonts w:ascii="Garamond" w:eastAsia="Garamond" w:hAnsi="Garamond" w:cs="Garamond"/>
          <w:color w:val="231F20"/>
          <w:sz w:val="20"/>
          <w:szCs w:val="20"/>
          <w:lang w:bidi="en-US"/>
        </w:rPr>
        <w:t>ineffective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Engaging trusted members of the community to provide culturally relevant information can help address misconceptions surrounding </w:t>
      </w:r>
      <w:proofErr w:type="gramStart"/>
      <w:r w:rsidRPr="0026193B">
        <w:rPr>
          <w:rFonts w:ascii="Garamond" w:eastAsia="Garamond" w:hAnsi="Garamond" w:cs="Garamond"/>
          <w:color w:val="231F20"/>
          <w:sz w:val="20"/>
          <w:szCs w:val="20"/>
          <w:lang w:bidi="en-US"/>
        </w:rPr>
        <w:t>MDA</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60</w:t>
      </w:r>
      <w:r w:rsidR="00E77571">
        <w:rPr>
          <w:rFonts w:ascii="Garamond" w:eastAsia="Garamond" w:hAnsi="Garamond" w:cs="Garamond"/>
          <w:color w:val="231F20"/>
          <w:sz w:val="20"/>
          <w:szCs w:val="20"/>
          <w:lang w:bidi="en-US"/>
        </w:rPr>
        <w:t>].</w:t>
      </w:r>
    </w:p>
    <w:p w14:paraId="1E0BA6BD"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49F2D861" w14:textId="5FF7455C"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Local understandings regarding surveillance, systematic data collection and data analysis also affect the community’s willingness to participate. Despite the capabilities of these procedures to assess STH prevalence, identify communities for MDA and monitor progress towards reducing infection, researchers found non-participation in surveillance programs with a refusal rate of eight percent in Benin and India and thirty-eight percent in </w:t>
      </w:r>
      <w:proofErr w:type="gramStart"/>
      <w:r w:rsidRPr="0026193B">
        <w:rPr>
          <w:rFonts w:ascii="Garamond" w:eastAsia="Garamond" w:hAnsi="Garamond" w:cs="Garamond"/>
          <w:color w:val="231F20"/>
          <w:sz w:val="20"/>
          <w:szCs w:val="20"/>
          <w:lang w:bidi="en-US"/>
        </w:rPr>
        <w:t>Malawi</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66,</w:t>
      </w:r>
      <w:r w:rsidR="00E77571">
        <w:rPr>
          <w:rFonts w:ascii="Garamond" w:eastAsia="Garamond" w:hAnsi="Garamond" w:cs="Garamond"/>
          <w:color w:val="231F20"/>
          <w:sz w:val="20"/>
          <w:szCs w:val="20"/>
          <w:lang w:bidi="en-US"/>
        </w:rPr>
        <w:t xml:space="preserve"> </w:t>
      </w:r>
      <w:r w:rsidRPr="0026193B">
        <w:rPr>
          <w:rFonts w:ascii="Garamond" w:eastAsia="Garamond" w:hAnsi="Garamond" w:cs="Garamond"/>
          <w:color w:val="231F20"/>
          <w:sz w:val="20"/>
          <w:szCs w:val="20"/>
          <w:lang w:bidi="en-US"/>
        </w:rPr>
        <w:t>67</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Lack of recognition of benefits for the community, mistrust in the purpose of the stool sample, lack of information about privacy and shorter lengths of residing in the community were all related to reluctance in participating in </w:t>
      </w:r>
      <w:proofErr w:type="gramStart"/>
      <w:r w:rsidRPr="0026193B">
        <w:rPr>
          <w:rFonts w:ascii="Garamond" w:eastAsia="Garamond" w:hAnsi="Garamond" w:cs="Garamond"/>
          <w:color w:val="231F20"/>
          <w:sz w:val="20"/>
          <w:szCs w:val="20"/>
          <w:lang w:bidi="en-US"/>
        </w:rPr>
        <w:t>surveillance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66</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This illustrates the need to better inform MMPs about the benefits of surveillance programs and mobilize community leaders to help survey their communities.</w:t>
      </w:r>
    </w:p>
    <w:p w14:paraId="6A9765C6"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55030A74" w14:textId="74C656BB" w:rsidR="00C03F40"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We argue that primary interventions to address STH infections like MDA, surveillance programs and other control methods like improved WASH access cannot be effective until community concerns are addressed, and in some cases, STH education is not sufficient to allay these concerns. We believe CE is necessary to provide community leaders with the tools to properly engage in the implementation of MDA and surveillance and reframe social norms. Our research indicates that incorporating community feedback and effectively mitigating any concerning side effects or adverse events will improve MDA, surveillance compliance and prevention of STH infections in both school settings and otherwise; if the community is not satisfied, they will be less likely to participate in MDA.</w:t>
      </w:r>
    </w:p>
    <w:p w14:paraId="3E763CA7" w14:textId="77777777" w:rsidR="0026193B" w:rsidRDefault="0026193B" w:rsidP="00F06E39">
      <w:pPr>
        <w:widowControl w:val="0"/>
        <w:pBdr>
          <w:top w:val="nil"/>
          <w:left w:val="nil"/>
          <w:bottom w:val="nil"/>
          <w:right w:val="nil"/>
          <w:between w:val="nil"/>
        </w:pBdr>
        <w:spacing w:line="240" w:lineRule="auto"/>
        <w:jc w:val="both"/>
        <w:rPr>
          <w:rFonts w:eastAsia="Garamond"/>
          <w:i/>
          <w:iCs/>
          <w:color w:val="231F20"/>
          <w:sz w:val="20"/>
          <w:szCs w:val="20"/>
        </w:rPr>
      </w:pPr>
    </w:p>
    <w:p w14:paraId="21235E35" w14:textId="77777777" w:rsidR="0026193B" w:rsidRDefault="0026193B" w:rsidP="00F06E39">
      <w:pPr>
        <w:widowControl w:val="0"/>
        <w:pBdr>
          <w:top w:val="nil"/>
          <w:left w:val="nil"/>
          <w:bottom w:val="nil"/>
          <w:right w:val="nil"/>
          <w:between w:val="nil"/>
        </w:pBdr>
        <w:spacing w:line="240" w:lineRule="auto"/>
        <w:jc w:val="both"/>
        <w:rPr>
          <w:b/>
          <w:color w:val="231F20"/>
          <w:sz w:val="20"/>
          <w:szCs w:val="20"/>
        </w:rPr>
      </w:pPr>
      <w:r w:rsidRPr="0026193B">
        <w:rPr>
          <w:b/>
          <w:color w:val="231F20"/>
          <w:sz w:val="20"/>
          <w:szCs w:val="20"/>
        </w:rPr>
        <w:t>School-Based STH Programs</w:t>
      </w:r>
    </w:p>
    <w:p w14:paraId="79648FA0" w14:textId="4D0B101E"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School-based programs are generally effective STH interventions, despite age-specific limitations, since they tend to be well-received by community members and establish partnerships between community members and </w:t>
      </w:r>
      <w:proofErr w:type="gramStart"/>
      <w:r w:rsidRPr="0026193B">
        <w:rPr>
          <w:rFonts w:ascii="Garamond" w:eastAsia="Garamond" w:hAnsi="Garamond" w:cs="Garamond"/>
          <w:color w:val="231F20"/>
          <w:sz w:val="20"/>
          <w:szCs w:val="20"/>
          <w:lang w:bidi="en-US"/>
        </w:rPr>
        <w:t>educators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54,</w:t>
      </w:r>
      <w:r w:rsidR="00E77571">
        <w:rPr>
          <w:rFonts w:ascii="Garamond" w:eastAsia="Garamond" w:hAnsi="Garamond" w:cs="Garamond"/>
          <w:color w:val="231F20"/>
          <w:sz w:val="20"/>
          <w:szCs w:val="20"/>
          <w:lang w:bidi="en-US"/>
        </w:rPr>
        <w:t xml:space="preserve"> </w:t>
      </w:r>
      <w:r w:rsidRPr="0026193B">
        <w:rPr>
          <w:rFonts w:ascii="Garamond" w:eastAsia="Garamond" w:hAnsi="Garamond" w:cs="Garamond"/>
          <w:color w:val="231F20"/>
          <w:sz w:val="20"/>
          <w:szCs w:val="20"/>
          <w:lang w:bidi="en-US"/>
        </w:rPr>
        <w:t>68</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Interventions based in school facilities may be effective in consideration of the fact that school-aged children in SEA experience higher infection rates with A. lumbricoides and T. </w:t>
      </w:r>
      <w:proofErr w:type="spellStart"/>
      <w:r w:rsidRPr="0026193B">
        <w:rPr>
          <w:rFonts w:ascii="Garamond" w:eastAsia="Garamond" w:hAnsi="Garamond" w:cs="Garamond"/>
          <w:color w:val="231F20"/>
          <w:sz w:val="20"/>
          <w:szCs w:val="20"/>
          <w:lang w:bidi="en-US"/>
        </w:rPr>
        <w:t>trichiura</w:t>
      </w:r>
      <w:proofErr w:type="spellEnd"/>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69</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Past literature indicates that MDA in schools is much more successful than in the community, with 75% participation compared to 25-65% </w:t>
      </w:r>
      <w:proofErr w:type="gramStart"/>
      <w:r w:rsidRPr="0026193B">
        <w:rPr>
          <w:rFonts w:ascii="Garamond" w:eastAsia="Garamond" w:hAnsi="Garamond" w:cs="Garamond"/>
          <w:color w:val="231F20"/>
          <w:sz w:val="20"/>
          <w:szCs w:val="20"/>
          <w:lang w:bidi="en-US"/>
        </w:rPr>
        <w:t>participation</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15</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A lack of CE in implementing community-wide MDA and concerns with MDA side effects may contribute to this </w:t>
      </w:r>
      <w:proofErr w:type="gramStart"/>
      <w:r w:rsidRPr="0026193B">
        <w:rPr>
          <w:rFonts w:ascii="Garamond" w:eastAsia="Garamond" w:hAnsi="Garamond" w:cs="Garamond"/>
          <w:color w:val="231F20"/>
          <w:sz w:val="20"/>
          <w:szCs w:val="20"/>
          <w:lang w:bidi="en-US"/>
        </w:rPr>
        <w:t>discrepancy</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15</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w:t>
      </w:r>
    </w:p>
    <w:p w14:paraId="1BCE0176"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21E6ECBB" w14:textId="2D9B0513"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Although school-based MDA, coupled with other school- and community-directed programs such as health education and school WASH development, has demonstrated success in improving local community health, it is important to acknowledge the limitations of such programs in the specific context of </w:t>
      </w:r>
      <w:proofErr w:type="gramStart"/>
      <w:r w:rsidRPr="0026193B">
        <w:rPr>
          <w:rFonts w:ascii="Garamond" w:eastAsia="Garamond" w:hAnsi="Garamond" w:cs="Garamond"/>
          <w:color w:val="231F20"/>
          <w:sz w:val="20"/>
          <w:szCs w:val="20"/>
          <w:lang w:bidi="en-US"/>
        </w:rPr>
        <w:t>MMPs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54</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Thailand, Bangladesh, Malaysia and Indonesia are all countries hosting Rohingya refugees, among other school children of </w:t>
      </w:r>
      <w:proofErr w:type="gramStart"/>
      <w:r w:rsidRPr="0026193B">
        <w:rPr>
          <w:rFonts w:ascii="Garamond" w:eastAsia="Garamond" w:hAnsi="Garamond" w:cs="Garamond"/>
          <w:color w:val="231F20"/>
          <w:sz w:val="20"/>
          <w:szCs w:val="20"/>
          <w:lang w:bidi="en-US"/>
        </w:rPr>
        <w:t>MMPs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70</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Due to government policy in Bangladesh, and the legal status of refugee children, they are denied the opportunity for a formal </w:t>
      </w:r>
      <w:proofErr w:type="gramStart"/>
      <w:r w:rsidRPr="0026193B">
        <w:rPr>
          <w:rFonts w:ascii="Garamond" w:eastAsia="Garamond" w:hAnsi="Garamond" w:cs="Garamond"/>
          <w:color w:val="231F20"/>
          <w:sz w:val="20"/>
          <w:szCs w:val="20"/>
          <w:lang w:bidi="en-US"/>
        </w:rPr>
        <w:t>education</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71</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More children who come from MMPs, including recent Rohingya refugees, are instead receiving education in the form of humanitarian </w:t>
      </w:r>
      <w:proofErr w:type="gramStart"/>
      <w:r w:rsidRPr="0026193B">
        <w:rPr>
          <w:rFonts w:ascii="Garamond" w:eastAsia="Garamond" w:hAnsi="Garamond" w:cs="Garamond"/>
          <w:color w:val="231F20"/>
          <w:sz w:val="20"/>
          <w:szCs w:val="20"/>
          <w:lang w:bidi="en-US"/>
        </w:rPr>
        <w:t>aid</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70</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Learning centers in refugee camps continue to be established and supported by </w:t>
      </w:r>
      <w:proofErr w:type="gramStart"/>
      <w:r w:rsidRPr="0026193B">
        <w:rPr>
          <w:rFonts w:ascii="Garamond" w:eastAsia="Garamond" w:hAnsi="Garamond" w:cs="Garamond"/>
          <w:color w:val="231F20"/>
          <w:sz w:val="20"/>
          <w:szCs w:val="20"/>
          <w:lang w:bidi="en-US"/>
        </w:rPr>
        <w:t>UNICEF</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71,</w:t>
      </w:r>
      <w:r w:rsidR="00E77571">
        <w:rPr>
          <w:rFonts w:ascii="Garamond" w:eastAsia="Garamond" w:hAnsi="Garamond" w:cs="Garamond"/>
          <w:color w:val="231F20"/>
          <w:sz w:val="20"/>
          <w:szCs w:val="20"/>
          <w:lang w:bidi="en-US"/>
        </w:rPr>
        <w:t xml:space="preserve"> </w:t>
      </w:r>
      <w:r w:rsidRPr="0026193B">
        <w:rPr>
          <w:rFonts w:ascii="Garamond" w:eastAsia="Garamond" w:hAnsi="Garamond" w:cs="Garamond"/>
          <w:color w:val="231F20"/>
          <w:sz w:val="20"/>
          <w:szCs w:val="20"/>
          <w:lang w:bidi="en-US"/>
        </w:rPr>
        <w:t>72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Recognizing the distinction between formal and informal education systems for Rohingya children in refugee camps, there is an opportunity to incorporate CE in the planning, support and evaluation of education-based STH programs. This approach could strengthen health education interventions and increase behavior change regarding MDA compliance for this </w:t>
      </w:r>
      <w:proofErr w:type="gramStart"/>
      <w:r w:rsidRPr="0026193B">
        <w:rPr>
          <w:rFonts w:ascii="Garamond" w:eastAsia="Garamond" w:hAnsi="Garamond" w:cs="Garamond"/>
          <w:color w:val="231F20"/>
          <w:sz w:val="20"/>
          <w:szCs w:val="20"/>
          <w:lang w:bidi="en-US"/>
        </w:rPr>
        <w:t>population</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73</w:t>
      </w:r>
      <w:r w:rsidR="00E77571">
        <w:rPr>
          <w:rFonts w:ascii="Garamond" w:eastAsia="Garamond" w:hAnsi="Garamond" w:cs="Garamond"/>
          <w:color w:val="231F20"/>
          <w:sz w:val="20"/>
          <w:szCs w:val="20"/>
          <w:lang w:bidi="en-US"/>
        </w:rPr>
        <w:t>].</w:t>
      </w:r>
    </w:p>
    <w:p w14:paraId="2675733D"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3314824C" w14:textId="546D1F84"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CE through school-based delivery of MDA was demonstrated in a study examining the control methods of STH infection in school children located in the provinces of Western Visayas, </w:t>
      </w:r>
      <w:proofErr w:type="gramStart"/>
      <w:r w:rsidRPr="0026193B">
        <w:rPr>
          <w:rFonts w:ascii="Garamond" w:eastAsia="Garamond" w:hAnsi="Garamond" w:cs="Garamond"/>
          <w:color w:val="231F20"/>
          <w:sz w:val="20"/>
          <w:szCs w:val="20"/>
          <w:lang w:bidi="en-US"/>
        </w:rPr>
        <w:t>Philippines</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21</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The data showed a significant decrease in the prevalence of STH infections after multiple rounds of MDA, particularly for A. lumbricoides and T. </w:t>
      </w:r>
      <w:proofErr w:type="spellStart"/>
      <w:proofErr w:type="gramStart"/>
      <w:r w:rsidRPr="0026193B">
        <w:rPr>
          <w:rFonts w:ascii="Garamond" w:eastAsia="Garamond" w:hAnsi="Garamond" w:cs="Garamond"/>
          <w:color w:val="231F20"/>
          <w:sz w:val="20"/>
          <w:szCs w:val="20"/>
          <w:lang w:bidi="en-US"/>
        </w:rPr>
        <w:t>trichiura</w:t>
      </w:r>
      <w:proofErr w:type="spellEnd"/>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21</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A barrier to MDA is the possibility of reinfection for STHs and difficulty in getting people to return for </w:t>
      </w:r>
      <w:proofErr w:type="gramStart"/>
      <w:r w:rsidRPr="0026193B">
        <w:rPr>
          <w:rFonts w:ascii="Garamond" w:eastAsia="Garamond" w:hAnsi="Garamond" w:cs="Garamond"/>
          <w:color w:val="231F20"/>
          <w:sz w:val="20"/>
          <w:szCs w:val="20"/>
          <w:lang w:bidi="en-US"/>
        </w:rPr>
        <w:t>treatment</w:t>
      </w:r>
      <w:r w:rsidR="00E77571">
        <w:rPr>
          <w:rFonts w:ascii="Garamond" w:eastAsia="Garamond" w:hAnsi="Garamond" w:cs="Garamond"/>
          <w:color w:val="231F20"/>
          <w:sz w:val="20"/>
          <w:szCs w:val="20"/>
          <w:lang w:bidi="en-US"/>
        </w:rPr>
        <w:t>[</w:t>
      </w:r>
      <w:proofErr w:type="gramEnd"/>
      <w:r w:rsidR="00E77571">
        <w:rPr>
          <w:rFonts w:ascii="Garamond" w:eastAsia="Garamond" w:hAnsi="Garamond" w:cs="Garamond"/>
          <w:color w:val="231F20"/>
          <w:sz w:val="20"/>
          <w:szCs w:val="20"/>
          <w:lang w:bidi="en-US"/>
        </w:rPr>
        <w:t>1</w:t>
      </w:r>
      <w:r w:rsidRPr="0026193B">
        <w:rPr>
          <w:rFonts w:ascii="Garamond" w:eastAsia="Garamond" w:hAnsi="Garamond" w:cs="Garamond"/>
          <w:color w:val="231F20"/>
          <w:sz w:val="20"/>
          <w:szCs w:val="20"/>
          <w:lang w:bidi="en-US"/>
        </w:rPr>
        <w:t>5</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To mitigate this, the researchers engaged local government units and pharmaceutical companies to strengthen the health system through program expansion and increased funding support. Local government units encouraged community participation by collaborating with the Department of Education and Department of </w:t>
      </w:r>
      <w:proofErr w:type="gramStart"/>
      <w:r w:rsidRPr="0026193B">
        <w:rPr>
          <w:rFonts w:ascii="Garamond" w:eastAsia="Garamond" w:hAnsi="Garamond" w:cs="Garamond"/>
          <w:color w:val="231F20"/>
          <w:sz w:val="20"/>
          <w:szCs w:val="20"/>
          <w:lang w:bidi="en-US"/>
        </w:rPr>
        <w:t>Health</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21</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This cooperation allowed schools to be used as venues for MDA, which leveraged the existing infrastructure and workforce in the community. Engaging the Department of Education allowed teachers to be trained to administer anthelmintic drugs to students under the guidance of </w:t>
      </w:r>
      <w:r w:rsidRPr="0026193B">
        <w:rPr>
          <w:rFonts w:ascii="Garamond" w:eastAsia="Garamond" w:hAnsi="Garamond" w:cs="Garamond"/>
          <w:color w:val="231F20"/>
          <w:sz w:val="20"/>
          <w:szCs w:val="20"/>
          <w:lang w:bidi="en-US"/>
        </w:rPr>
        <w:lastRenderedPageBreak/>
        <w:t xml:space="preserve">school nurses. As a result, MDA that incorporated CE practices led to improved nutritional status of the students and helped to enhance school </w:t>
      </w:r>
      <w:proofErr w:type="gramStart"/>
      <w:r w:rsidRPr="0026193B">
        <w:rPr>
          <w:rFonts w:ascii="Garamond" w:eastAsia="Garamond" w:hAnsi="Garamond" w:cs="Garamond"/>
          <w:color w:val="231F20"/>
          <w:sz w:val="20"/>
          <w:szCs w:val="20"/>
          <w:lang w:bidi="en-US"/>
        </w:rPr>
        <w:t>performance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21</w:t>
      </w:r>
      <w:r w:rsidR="00E77571">
        <w:rPr>
          <w:rFonts w:ascii="Garamond" w:eastAsia="Garamond" w:hAnsi="Garamond" w:cs="Garamond"/>
          <w:color w:val="231F20"/>
          <w:sz w:val="20"/>
          <w:szCs w:val="20"/>
          <w:lang w:bidi="en-US"/>
        </w:rPr>
        <w:t>].</w:t>
      </w:r>
    </w:p>
    <w:p w14:paraId="5D573371"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34D77893" w14:textId="4E997F7B"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A limitation of school-based programs is insufficient outreach to community members beyond the school-aged population, and a pilot study comparing the effectiveness of community-based STH intervention programs to school-based MDA programs found that community-based programs coupled with school-based programs were more effective than school-based programs </w:t>
      </w:r>
      <w:proofErr w:type="gramStart"/>
      <w:r w:rsidRPr="0026193B">
        <w:rPr>
          <w:rFonts w:ascii="Garamond" w:eastAsia="Garamond" w:hAnsi="Garamond" w:cs="Garamond"/>
          <w:color w:val="231F20"/>
          <w:sz w:val="20"/>
          <w:szCs w:val="20"/>
          <w:lang w:bidi="en-US"/>
        </w:rPr>
        <w:t>alone</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74</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The study included six communities in Timor-Leste, with three communities only receiving school-based interventions and the other three receiving both school-based and community-based STH intervention programs. The study found that community-based interventions, such as increased latrine coverage, hygiene education conducted by WASH agency staff and MDA, resulted in reduced open defecation by roughly half and reduced odds of N. americanus among children by 88.2</w:t>
      </w:r>
      <w:proofErr w:type="gramStart"/>
      <w:r w:rsidRPr="0026193B">
        <w:rPr>
          <w:rFonts w:ascii="Garamond" w:eastAsia="Garamond" w:hAnsi="Garamond" w:cs="Garamond"/>
          <w:color w:val="231F20"/>
          <w:sz w:val="20"/>
          <w:szCs w:val="20"/>
          <w:lang w:bidi="en-US"/>
        </w:rPr>
        <w:t>%</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74</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These additional interventions could be utilized to address the current shortcomings of school-based programs for MMPs. </w:t>
      </w:r>
    </w:p>
    <w:p w14:paraId="4EBFC58B" w14:textId="77777777" w:rsidR="005F2978" w:rsidRP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6AF70215" w14:textId="42A6E678" w:rsidR="00652B75"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26193B">
        <w:rPr>
          <w:rFonts w:ascii="Garamond" w:eastAsia="Garamond" w:hAnsi="Garamond" w:cs="Garamond"/>
          <w:color w:val="231F20"/>
          <w:sz w:val="20"/>
          <w:szCs w:val="20"/>
          <w:lang w:bidi="en-US"/>
        </w:rPr>
        <w:t xml:space="preserve">Health education initiatives in schools with an emphasis on CE also have the potential to reduce STH infection in children of MMPs. One study developed and evaluated a health education learning package that aimed to reduce STH infections among schoolchildren in </w:t>
      </w:r>
      <w:proofErr w:type="gramStart"/>
      <w:r w:rsidRPr="0026193B">
        <w:rPr>
          <w:rFonts w:ascii="Garamond" w:eastAsia="Garamond" w:hAnsi="Garamond" w:cs="Garamond"/>
          <w:color w:val="231F20"/>
          <w:sz w:val="20"/>
          <w:szCs w:val="20"/>
          <w:lang w:bidi="en-US"/>
        </w:rPr>
        <w:t>Malaysia</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The process included deworming children before the intervention, community discussions with the children, teachers, parents and more. Teachers, children and parents were actively involved in developing the package, including interactive communication methods such workshops for the teachers, a guidebook on STH infections, comic books, music video and an aid kit. The researchers found that the monthly reinfection intensity and rates of those who received the package were significantly lower (70%) compared to those who did not receive the package (10.2%). Continuous follow-up and implementation in the communities, including an overview of STH infections, follow-up by the teachers in the classrooms and encouragement to educate their respective families, were well-received by the </w:t>
      </w:r>
      <w:proofErr w:type="gramStart"/>
      <w:r w:rsidRPr="0026193B">
        <w:rPr>
          <w:rFonts w:ascii="Garamond" w:eastAsia="Garamond" w:hAnsi="Garamond" w:cs="Garamond"/>
          <w:color w:val="231F20"/>
          <w:sz w:val="20"/>
          <w:szCs w:val="20"/>
          <w:lang w:bidi="en-US"/>
        </w:rPr>
        <w:t>community</w:t>
      </w:r>
      <w:r w:rsidR="00E77571">
        <w:rPr>
          <w:rFonts w:ascii="Garamond" w:eastAsia="Garamond" w:hAnsi="Garamond" w:cs="Garamond"/>
          <w:color w:val="231F20"/>
          <w:sz w:val="20"/>
          <w:szCs w:val="20"/>
          <w:lang w:bidi="en-US"/>
        </w:rPr>
        <w:t>[</w:t>
      </w:r>
      <w:proofErr w:type="gramEnd"/>
      <w:r w:rsidRPr="0026193B">
        <w:rPr>
          <w:rFonts w:ascii="Garamond" w:eastAsia="Garamond" w:hAnsi="Garamond" w:cs="Garamond"/>
          <w:color w:val="231F20"/>
          <w:sz w:val="20"/>
          <w:szCs w:val="20"/>
          <w:lang w:bidi="en-US"/>
        </w:rPr>
        <w:t>22</w:t>
      </w:r>
      <w:r w:rsidR="00E77571">
        <w:rPr>
          <w:rFonts w:ascii="Garamond" w:eastAsia="Garamond" w:hAnsi="Garamond" w:cs="Garamond"/>
          <w:color w:val="231F20"/>
          <w:sz w:val="20"/>
          <w:szCs w:val="20"/>
          <w:lang w:bidi="en-US"/>
        </w:rPr>
        <w:t>].</w:t>
      </w:r>
      <w:r w:rsidRPr="0026193B">
        <w:rPr>
          <w:rFonts w:ascii="Garamond" w:eastAsia="Garamond" w:hAnsi="Garamond" w:cs="Garamond"/>
          <w:color w:val="231F20"/>
          <w:sz w:val="20"/>
          <w:szCs w:val="20"/>
          <w:lang w:bidi="en-US"/>
        </w:rPr>
        <w:t xml:space="preserve"> Results from MDA administration and health education in schools demonstrate that they can serve as a hub for reducing STH infection among school-aged children, but there is a gap in research illustrating this level of effectiveness outside of students.</w:t>
      </w:r>
    </w:p>
    <w:p w14:paraId="2ADE9990"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3875EE6B" w14:textId="653BECB6"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26193B">
        <w:rPr>
          <w:b/>
          <w:color w:val="231F20"/>
          <w:sz w:val="20"/>
          <w:szCs w:val="20"/>
        </w:rPr>
        <w:t>STH Research</w:t>
      </w:r>
    </w:p>
    <w:p w14:paraId="1F45194D" w14:textId="0D8D3F31" w:rsidR="005F2978" w:rsidRDefault="005F2978" w:rsidP="005F2978">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5F2978">
        <w:rPr>
          <w:rFonts w:ascii="Garamond" w:eastAsia="Garamond" w:hAnsi="Garamond" w:cs="Garamond"/>
          <w:color w:val="231F20"/>
          <w:sz w:val="20"/>
          <w:szCs w:val="20"/>
          <w:lang w:bidi="en-US"/>
        </w:rPr>
        <w:t xml:space="preserve">Further research is needed to better understand STH infection and treatment in MMPs in SEA with a focus on solidarity through incorporation of </w:t>
      </w:r>
      <w:proofErr w:type="gramStart"/>
      <w:r w:rsidRPr="005F2978">
        <w:rPr>
          <w:rFonts w:ascii="Garamond" w:eastAsia="Garamond" w:hAnsi="Garamond" w:cs="Garamond"/>
          <w:color w:val="231F20"/>
          <w:sz w:val="20"/>
          <w:szCs w:val="20"/>
          <w:lang w:bidi="en-US"/>
        </w:rPr>
        <w:t>CE</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17</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Researchers examined the extent of CE in the research process in past health services literature on STHs across </w:t>
      </w:r>
      <w:proofErr w:type="gramStart"/>
      <w:r w:rsidRPr="005F2978">
        <w:rPr>
          <w:rFonts w:ascii="Garamond" w:eastAsia="Garamond" w:hAnsi="Garamond" w:cs="Garamond"/>
          <w:color w:val="231F20"/>
          <w:sz w:val="20"/>
          <w:szCs w:val="20"/>
          <w:lang w:bidi="en-US"/>
        </w:rPr>
        <w:t>SEA</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8</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Investigators scored ten papers published between 2008 and 2021 based on whether local stakeholders were involved in the idea development, methodology development, data collection and analysis, report writing and dissemination processes, and concluded that all papers received a moderate to low score. The researchers indicated that there currently lacks CE in research studying health interventions combatting STH infection in the Asia Pacific region, observing a lack of community members leading or collaborating at different steps in the STH research </w:t>
      </w:r>
      <w:proofErr w:type="gramStart"/>
      <w:r w:rsidRPr="005F2978">
        <w:rPr>
          <w:rFonts w:ascii="Garamond" w:eastAsia="Garamond" w:hAnsi="Garamond" w:cs="Garamond"/>
          <w:color w:val="231F20"/>
          <w:sz w:val="20"/>
          <w:szCs w:val="20"/>
          <w:lang w:bidi="en-US"/>
        </w:rPr>
        <w:t>process</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8</w:t>
      </w:r>
      <w:r w:rsidR="00E77571">
        <w:rPr>
          <w:rFonts w:ascii="Garamond" w:eastAsia="Garamond" w:hAnsi="Garamond" w:cs="Garamond"/>
          <w:color w:val="231F20"/>
          <w:sz w:val="20"/>
          <w:szCs w:val="20"/>
          <w:lang w:bidi="en-US"/>
        </w:rPr>
        <w:t>].</w:t>
      </w:r>
    </w:p>
    <w:p w14:paraId="4BA8E8D4" w14:textId="77777777" w:rsidR="005F2978" w:rsidRPr="005F2978" w:rsidRDefault="005F2978" w:rsidP="005F2978">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61BE12EF" w14:textId="374A195D" w:rsidR="0026193B" w:rsidRDefault="005F2978" w:rsidP="005F2978">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r w:rsidRPr="005F2978">
        <w:rPr>
          <w:rFonts w:ascii="Garamond" w:eastAsia="Garamond" w:hAnsi="Garamond" w:cs="Garamond"/>
          <w:color w:val="231F20"/>
          <w:sz w:val="20"/>
          <w:szCs w:val="20"/>
          <w:lang w:bidi="en-US"/>
        </w:rPr>
        <w:t xml:space="preserve">A recent study determined risk factors and epidemiological features of intestinal parasitic infections in resource-constrained communities on the Thai-Burmese border with a significant infection </w:t>
      </w:r>
      <w:proofErr w:type="gramStart"/>
      <w:r w:rsidRPr="005F2978">
        <w:rPr>
          <w:rFonts w:ascii="Garamond" w:eastAsia="Garamond" w:hAnsi="Garamond" w:cs="Garamond"/>
          <w:color w:val="231F20"/>
          <w:sz w:val="20"/>
          <w:szCs w:val="20"/>
          <w:lang w:bidi="en-US"/>
        </w:rPr>
        <w:t>prevalence</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23</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In this study, village health volunteers played a significant role in data collection by administering a questionnaire survey addressing community-wide primary healthcare activities and administration of a One Health educational intervention, which resulted in a significant increase in knowledge of infections due to dissemination of knowledge through a peer-to-peer method rather than a top-down line of communication. The researchers recommend engagement and integration of community members and stakeholders in order to effectively circulate accurate information that will inform strong strategic planning to address intestinal parasitic infections in this MMP </w:t>
      </w:r>
      <w:proofErr w:type="gramStart"/>
      <w:r w:rsidRPr="005F2978">
        <w:rPr>
          <w:rFonts w:ascii="Garamond" w:eastAsia="Garamond" w:hAnsi="Garamond" w:cs="Garamond"/>
          <w:color w:val="231F20"/>
          <w:sz w:val="20"/>
          <w:szCs w:val="20"/>
          <w:lang w:bidi="en-US"/>
        </w:rPr>
        <w:t>setting</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23</w:t>
      </w:r>
      <w:r w:rsidR="00E77571">
        <w:rPr>
          <w:rFonts w:ascii="Garamond" w:eastAsia="Garamond" w:hAnsi="Garamond" w:cs="Garamond"/>
          <w:color w:val="231F20"/>
          <w:sz w:val="20"/>
          <w:szCs w:val="20"/>
          <w:lang w:bidi="en-US"/>
        </w:rPr>
        <w:t>].</w:t>
      </w:r>
    </w:p>
    <w:p w14:paraId="10AA6A54" w14:textId="77777777" w:rsidR="005F2978" w:rsidRDefault="005F2978" w:rsidP="005F2978">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33979ACC" w14:textId="25AFE43F" w:rsidR="005F2978" w:rsidRDefault="005F2978" w:rsidP="005F2978">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5F2978">
        <w:rPr>
          <w:b/>
          <w:color w:val="231F20"/>
          <w:sz w:val="20"/>
          <w:szCs w:val="20"/>
        </w:rPr>
        <w:t>Community Engagement in Other STH Contexts</w:t>
      </w:r>
    </w:p>
    <w:p w14:paraId="6920B5B9" w14:textId="653374FE" w:rsidR="0026193B"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r w:rsidRPr="005F2978">
        <w:rPr>
          <w:rFonts w:ascii="Garamond" w:eastAsia="Garamond" w:hAnsi="Garamond" w:cs="Garamond"/>
          <w:color w:val="231F20"/>
          <w:sz w:val="20"/>
          <w:szCs w:val="20"/>
          <w:lang w:bidi="en-US"/>
        </w:rPr>
        <w:t xml:space="preserve">Insights from CE models implemented in other contexts provide valuable information for informing the implementation of CE in SEA. Researchers evaluated the role of 4.7 million trained community-directed distributors that carried out MDA, conducted home visits and liaised with community members in sub-Saharan </w:t>
      </w:r>
      <w:proofErr w:type="gramStart"/>
      <w:r w:rsidRPr="005F2978">
        <w:rPr>
          <w:rFonts w:ascii="Garamond" w:eastAsia="Garamond" w:hAnsi="Garamond" w:cs="Garamond"/>
          <w:color w:val="231F20"/>
          <w:sz w:val="20"/>
          <w:szCs w:val="20"/>
          <w:lang w:bidi="en-US"/>
        </w:rPr>
        <w:t>Africa</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75</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The study found that more community-directed directors per person resulted in greater therapeutic coverage, especially with more female </w:t>
      </w:r>
      <w:proofErr w:type="gramStart"/>
      <w:r w:rsidRPr="005F2978">
        <w:rPr>
          <w:rFonts w:ascii="Garamond" w:eastAsia="Garamond" w:hAnsi="Garamond" w:cs="Garamond"/>
          <w:color w:val="231F20"/>
          <w:sz w:val="20"/>
          <w:szCs w:val="20"/>
          <w:lang w:bidi="en-US"/>
        </w:rPr>
        <w:t>directors</w:t>
      </w:r>
      <w:r w:rsidR="00E77571">
        <w:rPr>
          <w:rFonts w:ascii="Garamond" w:eastAsia="Garamond" w:hAnsi="Garamond" w:cs="Garamond"/>
          <w:color w:val="231F20"/>
          <w:sz w:val="20"/>
          <w:szCs w:val="20"/>
          <w:lang w:bidi="en-US"/>
        </w:rPr>
        <w:t>[</w:t>
      </w:r>
      <w:proofErr w:type="gramEnd"/>
      <w:r w:rsidRPr="005F2978">
        <w:rPr>
          <w:rFonts w:ascii="Garamond" w:eastAsia="Garamond" w:hAnsi="Garamond" w:cs="Garamond"/>
          <w:color w:val="231F20"/>
          <w:sz w:val="20"/>
          <w:szCs w:val="20"/>
          <w:lang w:bidi="en-US"/>
        </w:rPr>
        <w:t>9</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Utilizing MMP community members to take on community health worker responsibilities, as well as strategies like program integration and cross-border coordination of control programs like MDA are also recommended in East African MMPs</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76</w:t>
      </w:r>
      <w:r w:rsidR="00E77571">
        <w:rPr>
          <w:rFonts w:ascii="Garamond" w:eastAsia="Garamond" w:hAnsi="Garamond" w:cs="Garamond"/>
          <w:color w:val="231F20"/>
          <w:sz w:val="20"/>
          <w:szCs w:val="20"/>
          <w:lang w:bidi="en-US"/>
        </w:rPr>
        <w:t>].</w:t>
      </w:r>
      <w:r w:rsidRPr="005F2978">
        <w:rPr>
          <w:rFonts w:ascii="Garamond" w:eastAsia="Garamond" w:hAnsi="Garamond" w:cs="Garamond"/>
          <w:color w:val="231F20"/>
          <w:sz w:val="20"/>
          <w:szCs w:val="20"/>
          <w:lang w:bidi="en-US"/>
        </w:rPr>
        <w:t xml:space="preserve"> While these findings and perspectives cannot be translated directly to STH control among MMPs in SEA without consideration of </w:t>
      </w:r>
      <w:r w:rsidRPr="005F2978">
        <w:rPr>
          <w:rFonts w:ascii="Garamond" w:eastAsia="Garamond" w:hAnsi="Garamond" w:cs="Garamond"/>
          <w:color w:val="231F20"/>
          <w:sz w:val="20"/>
          <w:szCs w:val="20"/>
          <w:lang w:bidi="en-US"/>
        </w:rPr>
        <w:lastRenderedPageBreak/>
        <w:t>multidimensional factors such as urbanization, varying reasons for migration and sociocultural barriers, they showcase the effectiveness of community-driven initiatives.</w:t>
      </w:r>
    </w:p>
    <w:p w14:paraId="34E98BAE"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4B5F50B7" w14:textId="77777777" w:rsidR="005F2978" w:rsidRPr="00F06E39" w:rsidRDefault="005F2978"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rPr>
      </w:pPr>
    </w:p>
    <w:p w14:paraId="053088D2" w14:textId="77777777" w:rsidR="005F2978" w:rsidRDefault="0026193B" w:rsidP="005F2978">
      <w:pPr>
        <w:widowControl w:val="0"/>
        <w:pBdr>
          <w:top w:val="nil"/>
          <w:left w:val="nil"/>
          <w:bottom w:val="nil"/>
          <w:right w:val="nil"/>
          <w:between w:val="nil"/>
        </w:pBdr>
        <w:spacing w:line="240" w:lineRule="auto"/>
        <w:jc w:val="both"/>
        <w:rPr>
          <w:b/>
          <w:color w:val="009999"/>
          <w:sz w:val="20"/>
          <w:szCs w:val="20"/>
        </w:rPr>
      </w:pPr>
      <w:r w:rsidRPr="0026193B">
        <w:rPr>
          <w:b/>
          <w:color w:val="009999"/>
          <w:sz w:val="20"/>
          <w:szCs w:val="20"/>
        </w:rPr>
        <w:t>FUTURE</w:t>
      </w:r>
      <w:r>
        <w:rPr>
          <w:b/>
          <w:color w:val="009999"/>
          <w:sz w:val="20"/>
          <w:szCs w:val="20"/>
        </w:rPr>
        <w:t xml:space="preserve"> </w:t>
      </w:r>
      <w:r w:rsidRPr="0026193B">
        <w:rPr>
          <w:b/>
          <w:color w:val="009999"/>
          <w:sz w:val="20"/>
          <w:szCs w:val="20"/>
        </w:rPr>
        <w:t>DIRECTIONS FOR COMMUNITY</w:t>
      </w:r>
      <w:r>
        <w:rPr>
          <w:b/>
          <w:color w:val="009999"/>
          <w:sz w:val="20"/>
          <w:szCs w:val="20"/>
        </w:rPr>
        <w:t xml:space="preserve"> </w:t>
      </w:r>
      <w:r w:rsidRPr="0026193B">
        <w:rPr>
          <w:b/>
          <w:color w:val="009999"/>
          <w:sz w:val="20"/>
          <w:szCs w:val="20"/>
        </w:rPr>
        <w:t>ENGAGEMENT</w:t>
      </w:r>
    </w:p>
    <w:p w14:paraId="39CA0306" w14:textId="31FD9EB5" w:rsidR="006B4C3C" w:rsidRDefault="0026193B" w:rsidP="005F2978">
      <w:pPr>
        <w:widowControl w:val="0"/>
        <w:pBdr>
          <w:top w:val="nil"/>
          <w:left w:val="nil"/>
          <w:bottom w:val="nil"/>
          <w:right w:val="nil"/>
          <w:between w:val="nil"/>
        </w:pBdr>
        <w:spacing w:line="240" w:lineRule="auto"/>
        <w:jc w:val="both"/>
        <w:rPr>
          <w:rFonts w:ascii="Garamond" w:eastAsia="Garamond" w:hAnsi="Garamond" w:cs="Garamond"/>
          <w:bCs/>
          <w:color w:val="231F20"/>
          <w:sz w:val="20"/>
          <w:szCs w:val="20"/>
          <w:lang w:bidi="en-US"/>
        </w:rPr>
      </w:pPr>
      <w:r w:rsidRPr="0026193B">
        <w:rPr>
          <w:rFonts w:ascii="Garamond" w:eastAsia="Garamond" w:hAnsi="Garamond" w:cs="Garamond"/>
          <w:bCs/>
          <w:color w:val="231F20"/>
          <w:sz w:val="20"/>
          <w:szCs w:val="20"/>
          <w:lang w:bidi="en-US"/>
        </w:rPr>
        <w:t>We argue that taking a participatory approach to future research and mobilizing community stakeholders through CE are necessary steps to reduce the burden of STH infection across SEA. Participatory approaches can be incorporated into STH research through the identification of important community stakeholders and the utilization of existing workforces and infrastructure. Leveraging the voices of MMPs in research and program development will help improve community buy-in and insight on intervention strategies. Future school-based and community-based interventions that involve community members rather than simply inform them are highly recommended, and monitoring and evaluation should involve systems already in place, like schools and local government bodies. A multidisciplinary integration of these CE approaches with STH interventions and target strategies should be adopted to increase MMP participation in the research process. This will reduce the global burden of STH infection and inform future interventions, such as those illustrated in Table 1. Additional research should be conducted on best practices for the incorporation of CE in the specific context of MMPs due to cultural and language barriers, difficulty accessing long-term care and resource constraints. Currently, there is an absence of a structured framework for the integration of CE in this target population.</w:t>
      </w:r>
    </w:p>
    <w:p w14:paraId="1B73D529" w14:textId="77777777" w:rsidR="002B21BA" w:rsidRDefault="002B21BA" w:rsidP="005F2978">
      <w:pPr>
        <w:widowControl w:val="0"/>
        <w:pBdr>
          <w:top w:val="nil"/>
          <w:left w:val="nil"/>
          <w:bottom w:val="nil"/>
          <w:right w:val="nil"/>
          <w:between w:val="nil"/>
        </w:pBdr>
        <w:spacing w:line="240" w:lineRule="auto"/>
        <w:jc w:val="both"/>
        <w:rPr>
          <w:rFonts w:ascii="Garamond" w:eastAsia="Garamond" w:hAnsi="Garamond" w:cs="Garamond"/>
          <w:bCs/>
          <w:color w:val="231F20"/>
          <w:sz w:val="20"/>
          <w:szCs w:val="20"/>
          <w:lang w:bidi="en-US"/>
        </w:rPr>
      </w:pPr>
    </w:p>
    <w:tbl>
      <w:tblPr>
        <w:tblStyle w:val="TableGrid"/>
        <w:tblW w:w="0" w:type="auto"/>
        <w:tblLook w:val="04A0" w:firstRow="1" w:lastRow="0" w:firstColumn="1" w:lastColumn="0" w:noHBand="0" w:noVBand="1"/>
      </w:tblPr>
      <w:tblGrid>
        <w:gridCol w:w="4315"/>
        <w:gridCol w:w="4315"/>
      </w:tblGrid>
      <w:tr w:rsidR="002B21BA" w14:paraId="46E73216" w14:textId="77777777" w:rsidTr="002B21BA">
        <w:tc>
          <w:tcPr>
            <w:tcW w:w="4315" w:type="dxa"/>
          </w:tcPr>
          <w:p w14:paraId="268BAF85" w14:textId="5BFCBECD" w:rsidR="002B21BA" w:rsidRPr="002B21BA" w:rsidRDefault="002B21BA" w:rsidP="002B21BA">
            <w:pPr>
              <w:widowControl w:val="0"/>
              <w:jc w:val="center"/>
              <w:rPr>
                <w:rFonts w:ascii="Garamond" w:eastAsia="Garamond" w:hAnsi="Garamond" w:cs="Garamond"/>
                <w:b/>
                <w:color w:val="231F20"/>
                <w:sz w:val="20"/>
                <w:szCs w:val="20"/>
                <w:lang w:bidi="en-US"/>
              </w:rPr>
            </w:pPr>
            <w:r>
              <w:rPr>
                <w:rFonts w:ascii="Garamond" w:eastAsia="Garamond" w:hAnsi="Garamond" w:cs="Garamond"/>
                <w:b/>
                <w:color w:val="231F20"/>
                <w:sz w:val="20"/>
                <w:szCs w:val="20"/>
                <w:lang w:bidi="en-US"/>
              </w:rPr>
              <w:t>Action Step</w:t>
            </w:r>
          </w:p>
        </w:tc>
        <w:tc>
          <w:tcPr>
            <w:tcW w:w="4315" w:type="dxa"/>
          </w:tcPr>
          <w:p w14:paraId="57D95037" w14:textId="70795501" w:rsidR="002B21BA" w:rsidRPr="002B21BA" w:rsidRDefault="002B21BA" w:rsidP="002B21BA">
            <w:pPr>
              <w:widowControl w:val="0"/>
              <w:jc w:val="center"/>
              <w:rPr>
                <w:rFonts w:ascii="Garamond" w:eastAsia="Garamond" w:hAnsi="Garamond" w:cs="Garamond"/>
                <w:b/>
                <w:color w:val="231F20"/>
                <w:sz w:val="20"/>
                <w:szCs w:val="20"/>
                <w:lang w:bidi="en-US"/>
              </w:rPr>
            </w:pPr>
            <w:r>
              <w:rPr>
                <w:rFonts w:ascii="Garamond" w:eastAsia="Garamond" w:hAnsi="Garamond" w:cs="Garamond"/>
                <w:b/>
                <w:color w:val="231F20"/>
                <w:sz w:val="20"/>
                <w:szCs w:val="20"/>
                <w:lang w:bidi="en-US"/>
              </w:rPr>
              <w:t>Outcome</w:t>
            </w:r>
          </w:p>
        </w:tc>
      </w:tr>
      <w:tr w:rsidR="002B21BA" w14:paraId="3DB9FE7B" w14:textId="77777777" w:rsidTr="002B21BA">
        <w:tc>
          <w:tcPr>
            <w:tcW w:w="4315" w:type="dxa"/>
          </w:tcPr>
          <w:p w14:paraId="2E79433F" w14:textId="56E8B68B" w:rsidR="002B21BA" w:rsidRDefault="002B21BA" w:rsidP="002B21BA">
            <w:pPr>
              <w:widowControl w:val="0"/>
              <w:rPr>
                <w:rFonts w:ascii="Garamond" w:eastAsia="Garamond" w:hAnsi="Garamond" w:cs="Garamond"/>
                <w:bCs/>
                <w:color w:val="231F20"/>
                <w:sz w:val="20"/>
                <w:szCs w:val="20"/>
                <w:lang w:bidi="en-US"/>
              </w:rPr>
            </w:pPr>
            <w:r w:rsidRPr="002B21BA">
              <w:rPr>
                <w:rFonts w:ascii="Garamond" w:eastAsia="Garamond" w:hAnsi="Garamond" w:cs="Garamond"/>
                <w:bCs/>
                <w:color w:val="231F20"/>
                <w:sz w:val="20"/>
                <w:szCs w:val="20"/>
                <w:lang w:bidi="en-US"/>
              </w:rPr>
              <w:t>Leveraging the voices of community leaders to destigmatize treatment and surveillance.</w:t>
            </w:r>
          </w:p>
        </w:tc>
        <w:tc>
          <w:tcPr>
            <w:tcW w:w="4315" w:type="dxa"/>
          </w:tcPr>
          <w:p w14:paraId="7D1585C6" w14:textId="6AC1C71F" w:rsidR="002B21BA" w:rsidRDefault="00FD3AA1" w:rsidP="00FD3AA1">
            <w:pPr>
              <w:widowControl w:val="0"/>
              <w:tabs>
                <w:tab w:val="left" w:pos="1331"/>
              </w:tabs>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Community perceptions of treatment options and surveillance are addressed in public spaces and mainstream media.</w:t>
            </w:r>
          </w:p>
        </w:tc>
      </w:tr>
      <w:tr w:rsidR="002B21BA" w14:paraId="3D3BCACE" w14:textId="77777777" w:rsidTr="002B21BA">
        <w:tc>
          <w:tcPr>
            <w:tcW w:w="4315" w:type="dxa"/>
          </w:tcPr>
          <w:p w14:paraId="236490C6" w14:textId="5BE7C248" w:rsidR="002B21BA" w:rsidRDefault="002B21BA" w:rsidP="002B21BA">
            <w:pPr>
              <w:widowControl w:val="0"/>
              <w:jc w:val="both"/>
              <w:rPr>
                <w:rFonts w:ascii="Garamond" w:eastAsia="Garamond" w:hAnsi="Garamond" w:cs="Garamond"/>
                <w:bCs/>
                <w:color w:val="231F20"/>
                <w:sz w:val="20"/>
                <w:szCs w:val="20"/>
                <w:lang w:bidi="en-US"/>
              </w:rPr>
            </w:pPr>
            <w:r w:rsidRPr="002B21BA">
              <w:rPr>
                <w:rFonts w:ascii="Garamond" w:eastAsia="Garamond" w:hAnsi="Garamond" w:cs="Garamond"/>
                <w:bCs/>
                <w:color w:val="231F20"/>
                <w:sz w:val="20"/>
                <w:szCs w:val="20"/>
                <w:lang w:bidi="en-US"/>
              </w:rPr>
              <w:t>Utilization of existing spaces by community health workers and community leaders to discuss STH infection.</w:t>
            </w:r>
          </w:p>
        </w:tc>
        <w:tc>
          <w:tcPr>
            <w:tcW w:w="4315" w:type="dxa"/>
          </w:tcPr>
          <w:p w14:paraId="6412B878" w14:textId="5F4748D8" w:rsidR="00FD3AA1" w:rsidRPr="00FD3AA1" w:rsidRDefault="00FD3AA1" w:rsidP="00FD3AA1">
            <w:pPr>
              <w:tabs>
                <w:tab w:val="left" w:pos="1458"/>
              </w:tabs>
              <w:rPr>
                <w:rFonts w:ascii="Garamond" w:eastAsia="Garamond" w:hAnsi="Garamond" w:cs="Garamond"/>
                <w:sz w:val="20"/>
                <w:szCs w:val="20"/>
                <w:lang w:bidi="en-US"/>
              </w:rPr>
            </w:pPr>
            <w:r w:rsidRPr="00FD3AA1">
              <w:rPr>
                <w:rFonts w:ascii="Garamond" w:eastAsia="Garamond" w:hAnsi="Garamond" w:cs="Garamond"/>
                <w:sz w:val="20"/>
                <w:szCs w:val="20"/>
                <w:lang w:bidi="en-US"/>
              </w:rPr>
              <w:t>Workshops, screenings, or distribution of MDA are held at familiar and safe spaces, such as healthcare facilities, schools, or social and religious gatherings.</w:t>
            </w:r>
          </w:p>
        </w:tc>
      </w:tr>
      <w:tr w:rsidR="002B21BA" w14:paraId="5B2E2640" w14:textId="77777777" w:rsidTr="002B21BA">
        <w:tc>
          <w:tcPr>
            <w:tcW w:w="4315" w:type="dxa"/>
          </w:tcPr>
          <w:p w14:paraId="39E01A4D" w14:textId="4BF824FF"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Involvement of community members in STH research and program development.</w:t>
            </w:r>
          </w:p>
        </w:tc>
        <w:tc>
          <w:tcPr>
            <w:tcW w:w="4315" w:type="dxa"/>
          </w:tcPr>
          <w:p w14:paraId="655DD12A" w14:textId="165E2ED8"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 xml:space="preserve">Outcomes may be more likely to improve and community members may be more likely to uptake the research and </w:t>
            </w:r>
            <w:proofErr w:type="gramStart"/>
            <w:r w:rsidRPr="00FD3AA1">
              <w:rPr>
                <w:rFonts w:ascii="Garamond" w:eastAsia="Garamond" w:hAnsi="Garamond" w:cs="Garamond"/>
                <w:bCs/>
                <w:color w:val="231F20"/>
                <w:sz w:val="20"/>
                <w:szCs w:val="20"/>
                <w:lang w:bidi="en-US"/>
              </w:rPr>
              <w:t>programming[</w:t>
            </w:r>
            <w:proofErr w:type="gramEnd"/>
            <w:r w:rsidRPr="00FD3AA1">
              <w:rPr>
                <w:rFonts w:ascii="Garamond" w:eastAsia="Garamond" w:hAnsi="Garamond" w:cs="Garamond"/>
                <w:bCs/>
                <w:color w:val="231F20"/>
                <w:sz w:val="20"/>
                <w:szCs w:val="20"/>
                <w:lang w:bidi="en-US"/>
              </w:rPr>
              <w:t>7].</w:t>
            </w:r>
          </w:p>
        </w:tc>
      </w:tr>
      <w:tr w:rsidR="002B21BA" w14:paraId="2A0264A2" w14:textId="77777777" w:rsidTr="002B21BA">
        <w:tc>
          <w:tcPr>
            <w:tcW w:w="4315" w:type="dxa"/>
          </w:tcPr>
          <w:p w14:paraId="147E57F8" w14:textId="55499D82" w:rsidR="002B21BA" w:rsidRDefault="00FD3AA1" w:rsidP="00FD3AA1">
            <w:pPr>
              <w:widowControl w:val="0"/>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Development of health education addressing STH infection.</w:t>
            </w:r>
          </w:p>
        </w:tc>
        <w:tc>
          <w:tcPr>
            <w:tcW w:w="4315" w:type="dxa"/>
          </w:tcPr>
          <w:p w14:paraId="4E017C17" w14:textId="61239B8B"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 xml:space="preserve">Transmission of STH knowledge from teachers to school-aged </w:t>
            </w:r>
            <w:proofErr w:type="gramStart"/>
            <w:r w:rsidRPr="00FD3AA1">
              <w:rPr>
                <w:rFonts w:ascii="Garamond" w:eastAsia="Garamond" w:hAnsi="Garamond" w:cs="Garamond"/>
                <w:bCs/>
                <w:color w:val="231F20"/>
                <w:sz w:val="20"/>
                <w:szCs w:val="20"/>
                <w:lang w:bidi="en-US"/>
              </w:rPr>
              <w:t>children[</w:t>
            </w:r>
            <w:proofErr w:type="gramEnd"/>
            <w:r w:rsidRPr="00FD3AA1">
              <w:rPr>
                <w:rFonts w:ascii="Garamond" w:eastAsia="Garamond" w:hAnsi="Garamond" w:cs="Garamond"/>
                <w:bCs/>
                <w:color w:val="231F20"/>
                <w:sz w:val="20"/>
                <w:szCs w:val="20"/>
                <w:lang w:bidi="en-US"/>
              </w:rPr>
              <w:t>62].</w:t>
            </w:r>
          </w:p>
        </w:tc>
      </w:tr>
      <w:tr w:rsidR="002B21BA" w14:paraId="29D2063D" w14:textId="77777777" w:rsidTr="002B21BA">
        <w:tc>
          <w:tcPr>
            <w:tcW w:w="4315" w:type="dxa"/>
          </w:tcPr>
          <w:p w14:paraId="38DB725E" w14:textId="6DAC1E84"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Training of MMPs to become community health workers.</w:t>
            </w:r>
          </w:p>
        </w:tc>
        <w:tc>
          <w:tcPr>
            <w:tcW w:w="4315" w:type="dxa"/>
          </w:tcPr>
          <w:p w14:paraId="55BF5FFB" w14:textId="5C3DF893"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 xml:space="preserve">Cross-border coordination of control </w:t>
            </w:r>
            <w:proofErr w:type="gramStart"/>
            <w:r w:rsidRPr="00FD3AA1">
              <w:rPr>
                <w:rFonts w:ascii="Garamond" w:eastAsia="Garamond" w:hAnsi="Garamond" w:cs="Garamond"/>
                <w:bCs/>
                <w:color w:val="231F20"/>
                <w:sz w:val="20"/>
                <w:szCs w:val="20"/>
                <w:lang w:bidi="en-US"/>
              </w:rPr>
              <w:t>programs[</w:t>
            </w:r>
            <w:proofErr w:type="gramEnd"/>
            <w:r w:rsidRPr="00FD3AA1">
              <w:rPr>
                <w:rFonts w:ascii="Garamond" w:eastAsia="Garamond" w:hAnsi="Garamond" w:cs="Garamond"/>
                <w:bCs/>
                <w:color w:val="231F20"/>
                <w:sz w:val="20"/>
                <w:szCs w:val="20"/>
                <w:lang w:bidi="en-US"/>
              </w:rPr>
              <w:t>65].</w:t>
            </w:r>
          </w:p>
        </w:tc>
      </w:tr>
      <w:tr w:rsidR="002B21BA" w14:paraId="2724DEC5" w14:textId="77777777" w:rsidTr="002B21BA">
        <w:tc>
          <w:tcPr>
            <w:tcW w:w="4315" w:type="dxa"/>
          </w:tcPr>
          <w:p w14:paraId="794614C5" w14:textId="53899687"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Implementation of community directed distributors (CDDs), particularly women, in refugee camps.</w:t>
            </w:r>
          </w:p>
        </w:tc>
        <w:tc>
          <w:tcPr>
            <w:tcW w:w="4315" w:type="dxa"/>
          </w:tcPr>
          <w:p w14:paraId="1097B5C4" w14:textId="7A6D002A" w:rsidR="002B21BA" w:rsidRDefault="00FD3AA1" w:rsidP="00FD3AA1">
            <w:pPr>
              <w:widowControl w:val="0"/>
              <w:jc w:val="both"/>
              <w:rPr>
                <w:rFonts w:ascii="Garamond" w:eastAsia="Garamond" w:hAnsi="Garamond" w:cs="Garamond"/>
                <w:bCs/>
                <w:color w:val="231F20"/>
                <w:sz w:val="20"/>
                <w:szCs w:val="20"/>
                <w:lang w:bidi="en-US"/>
              </w:rPr>
            </w:pPr>
            <w:r w:rsidRPr="00FD3AA1">
              <w:rPr>
                <w:rFonts w:ascii="Garamond" w:eastAsia="Garamond" w:hAnsi="Garamond" w:cs="Garamond"/>
                <w:bCs/>
                <w:color w:val="231F20"/>
                <w:sz w:val="20"/>
                <w:szCs w:val="20"/>
                <w:lang w:bidi="en-US"/>
              </w:rPr>
              <w:t xml:space="preserve">Collaborate with community members to carry out MDA and conduct home health </w:t>
            </w:r>
            <w:proofErr w:type="gramStart"/>
            <w:r w:rsidRPr="00FD3AA1">
              <w:rPr>
                <w:rFonts w:ascii="Garamond" w:eastAsia="Garamond" w:hAnsi="Garamond" w:cs="Garamond"/>
                <w:bCs/>
                <w:color w:val="231F20"/>
                <w:sz w:val="20"/>
                <w:szCs w:val="20"/>
                <w:lang w:bidi="en-US"/>
              </w:rPr>
              <w:t>visits[</w:t>
            </w:r>
            <w:proofErr w:type="gramEnd"/>
            <w:r w:rsidRPr="00FD3AA1">
              <w:rPr>
                <w:rFonts w:ascii="Garamond" w:eastAsia="Garamond" w:hAnsi="Garamond" w:cs="Garamond"/>
                <w:bCs/>
                <w:color w:val="231F20"/>
                <w:sz w:val="20"/>
                <w:szCs w:val="20"/>
                <w:lang w:bidi="en-US"/>
              </w:rPr>
              <w:t>64].</w:t>
            </w:r>
          </w:p>
        </w:tc>
      </w:tr>
    </w:tbl>
    <w:p w14:paraId="22397D62" w14:textId="0A55EEB9" w:rsidR="00BD49C5" w:rsidRPr="00FD3AA1" w:rsidRDefault="00FD3AA1" w:rsidP="00FD3AA1">
      <w:pPr>
        <w:widowControl w:val="0"/>
        <w:pBdr>
          <w:top w:val="nil"/>
          <w:left w:val="nil"/>
          <w:bottom w:val="nil"/>
          <w:right w:val="nil"/>
          <w:between w:val="nil"/>
        </w:pBdr>
        <w:spacing w:line="240" w:lineRule="auto"/>
        <w:jc w:val="both"/>
        <w:rPr>
          <w:rFonts w:ascii="Garamond" w:hAnsi="Garamond"/>
          <w:bCs/>
          <w:color w:val="000000" w:themeColor="text1"/>
          <w:sz w:val="20"/>
          <w:szCs w:val="20"/>
        </w:rPr>
      </w:pPr>
      <w:r w:rsidRPr="00FD3AA1">
        <w:rPr>
          <w:rFonts w:ascii="Garamond" w:hAnsi="Garamond"/>
          <w:bCs/>
          <w:color w:val="000000" w:themeColor="text1"/>
          <w:sz w:val="20"/>
          <w:szCs w:val="20"/>
        </w:rPr>
        <w:t>Table 1. Future directions for community engagement to reduce soil-transmitted helminth infection burden in Southeast Asia</w:t>
      </w:r>
      <w:r>
        <w:rPr>
          <w:rFonts w:ascii="Garamond" w:hAnsi="Garamond"/>
          <w:bCs/>
          <w:color w:val="000000" w:themeColor="text1"/>
          <w:sz w:val="20"/>
          <w:szCs w:val="20"/>
        </w:rPr>
        <w:t>.</w:t>
      </w:r>
    </w:p>
    <w:p w14:paraId="635A89A0" w14:textId="77777777" w:rsidR="0026193B" w:rsidRDefault="0026193B" w:rsidP="0026193B">
      <w:pPr>
        <w:widowControl w:val="0"/>
        <w:pBdr>
          <w:top w:val="nil"/>
          <w:left w:val="nil"/>
          <w:bottom w:val="nil"/>
          <w:right w:val="nil"/>
          <w:between w:val="nil"/>
        </w:pBdr>
        <w:spacing w:line="240" w:lineRule="auto"/>
        <w:jc w:val="both"/>
        <w:rPr>
          <w:rFonts w:ascii="Garamond" w:eastAsia="Garamond" w:hAnsi="Garamond" w:cs="Garamond"/>
          <w:color w:val="231F20"/>
          <w:sz w:val="20"/>
          <w:szCs w:val="20"/>
          <w:lang w:bidi="en-US"/>
        </w:rPr>
      </w:pPr>
    </w:p>
    <w:p w14:paraId="27330420" w14:textId="1628855B" w:rsidR="006B4C3C" w:rsidRPr="006B4C3C" w:rsidRDefault="006B4C3C" w:rsidP="00C0303A">
      <w:pPr>
        <w:widowControl w:val="0"/>
        <w:pBdr>
          <w:top w:val="nil"/>
          <w:left w:val="nil"/>
          <w:bottom w:val="nil"/>
          <w:right w:val="nil"/>
          <w:between w:val="nil"/>
        </w:pBdr>
        <w:spacing w:line="240" w:lineRule="auto"/>
        <w:jc w:val="both"/>
        <w:rPr>
          <w:rFonts w:ascii="Garamond" w:eastAsia="Garamond" w:hAnsi="Garamond" w:cs="Garamond"/>
          <w:bCs/>
          <w:color w:val="231F20"/>
          <w:sz w:val="20"/>
          <w:szCs w:val="20"/>
          <w:lang w:bidi="en-US"/>
        </w:rPr>
      </w:pPr>
      <w:r>
        <w:rPr>
          <w:b/>
          <w:color w:val="009999"/>
          <w:sz w:val="20"/>
          <w:szCs w:val="20"/>
        </w:rPr>
        <w:t>CONCLUSION</w:t>
      </w:r>
      <w:r>
        <w:rPr>
          <w:color w:val="009999"/>
          <w:sz w:val="20"/>
          <w:szCs w:val="20"/>
        </w:rPr>
        <w:br/>
      </w:r>
      <w:r w:rsidR="008F221B" w:rsidRPr="008F221B">
        <w:rPr>
          <w:rFonts w:ascii="Garamond" w:eastAsia="Garamond" w:hAnsi="Garamond" w:cs="Garamond"/>
          <w:bCs/>
          <w:color w:val="231F20"/>
          <w:sz w:val="20"/>
          <w:szCs w:val="20"/>
          <w:lang w:val="en-GB" w:bidi="en-US"/>
        </w:rPr>
        <w:t>STH infection is a public health threat in SEA and around the world that disproportionately affects MMPs and results in adverse health outcomes. The incorporation of CE in STH control measures, interventions, treatment and research is necessary to reduce the high disease burden in this population. However, the dynamic nature and often marginalized status of MMPs make it difficult to achieve sufficient CE. Reshaping community perceptions of STH treatment and surveillance, implementing interventions in spaces and facilities that are familiar to community members, taking a participatory approach to future research and mobilizing community stakeholders through CE are necessary steps to reduce the burden of STH infection across MMPs in SEA. Open dialogues with community members or observation of existing and well-received initiatives to implement community-specific practices will help understand community perceptions of STH infection and treatment in MMPs. Furthermore, leveraging the voices of MMPs in research and program development will improve community buy-in and insight on intervention strategies. CE can serve as a key tool for reducing and preventing STH infection in MMPs in SEA.</w:t>
      </w:r>
    </w:p>
    <w:p w14:paraId="075788E0" w14:textId="77777777" w:rsidR="006B4C3C" w:rsidRPr="006B4C3C" w:rsidRDefault="006B4C3C" w:rsidP="006B4C3C">
      <w:pPr>
        <w:widowControl w:val="0"/>
        <w:pBdr>
          <w:top w:val="nil"/>
          <w:left w:val="nil"/>
          <w:bottom w:val="nil"/>
          <w:right w:val="nil"/>
          <w:between w:val="nil"/>
        </w:pBdr>
        <w:spacing w:line="240" w:lineRule="auto"/>
        <w:rPr>
          <w:rFonts w:ascii="Garamond" w:eastAsia="Garamond" w:hAnsi="Garamond" w:cs="Garamond"/>
          <w:color w:val="231F20"/>
          <w:sz w:val="20"/>
          <w:szCs w:val="20"/>
          <w:lang w:bidi="en-US"/>
        </w:rPr>
      </w:pPr>
    </w:p>
    <w:p w14:paraId="17FF9428" w14:textId="35E4B8BE" w:rsidR="005D72B9" w:rsidRDefault="00306140" w:rsidP="006B4C3C">
      <w:pPr>
        <w:widowControl w:val="0"/>
        <w:pBdr>
          <w:top w:val="nil"/>
          <w:left w:val="nil"/>
          <w:bottom w:val="nil"/>
          <w:right w:val="nil"/>
          <w:between w:val="nil"/>
        </w:pBdr>
        <w:spacing w:line="240" w:lineRule="auto"/>
        <w:rPr>
          <w:rFonts w:ascii="Garamond" w:eastAsia="Garamond" w:hAnsi="Garamond" w:cs="Garamond"/>
          <w:color w:val="231F20"/>
          <w:sz w:val="15"/>
          <w:szCs w:val="15"/>
        </w:rPr>
      </w:pPr>
      <w:r>
        <w:rPr>
          <w:b/>
          <w:color w:val="009999"/>
          <w:sz w:val="20"/>
          <w:szCs w:val="20"/>
        </w:rPr>
        <w:t>REFERENCES</w:t>
      </w:r>
    </w:p>
    <w:sdt>
      <w:sdtPr>
        <w:rPr>
          <w:lang w:val="en-GB"/>
        </w:rPr>
        <w:tag w:val="MENDELEY_BIBLIOGRAPHY"/>
        <w:id w:val="-2059087959"/>
        <w:placeholder>
          <w:docPart w:val="1699C9304BFB4C3F9F32BCF5890F3F8D"/>
        </w:placeholder>
      </w:sdtPr>
      <w:sdtContent>
        <w:bookmarkStart w:id="1" w:name="_Hlk94869276" w:displacedByCustomXml="prev"/>
        <w:p w14:paraId="109D495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World Health Organization. (2023). Soil-transmitted helminth infections. World Health Organization. https://who.int/news-room/fact-sheets/detail/soil-transmitted-helminth-infections</w:t>
          </w:r>
        </w:p>
        <w:p w14:paraId="7D122C6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Nery, S. V., Pickering, A. J., Abate, E., </w:t>
          </w:r>
          <w:proofErr w:type="spellStart"/>
          <w:r w:rsidRPr="008F221B">
            <w:rPr>
              <w:rFonts w:ascii="Garamond" w:eastAsia="Garamond" w:hAnsi="Garamond" w:cs="Garamond"/>
              <w:color w:val="231F20"/>
              <w:sz w:val="15"/>
              <w:szCs w:val="15"/>
              <w:lang w:val="en-GB"/>
            </w:rPr>
            <w:t>Asmare</w:t>
          </w:r>
          <w:proofErr w:type="spellEnd"/>
          <w:r w:rsidRPr="008F221B">
            <w:rPr>
              <w:rFonts w:ascii="Garamond" w:eastAsia="Garamond" w:hAnsi="Garamond" w:cs="Garamond"/>
              <w:color w:val="231F20"/>
              <w:sz w:val="15"/>
              <w:szCs w:val="15"/>
              <w:lang w:val="en-GB"/>
            </w:rPr>
            <w:t xml:space="preserve">, A., Barrett, L., Benjamin-Chung, J., Bundy, D. A. P., Clasen, T., Clements, A. C. A., Colford, J. M., Jr, </w:t>
          </w:r>
          <w:proofErr w:type="spellStart"/>
          <w:r w:rsidRPr="008F221B">
            <w:rPr>
              <w:rFonts w:ascii="Garamond" w:eastAsia="Garamond" w:hAnsi="Garamond" w:cs="Garamond"/>
              <w:color w:val="231F20"/>
              <w:sz w:val="15"/>
              <w:szCs w:val="15"/>
              <w:lang w:val="en-GB"/>
            </w:rPr>
            <w:t>Ercumen</w:t>
          </w:r>
          <w:proofErr w:type="spellEnd"/>
          <w:r w:rsidRPr="008F221B">
            <w:rPr>
              <w:rFonts w:ascii="Garamond" w:eastAsia="Garamond" w:hAnsi="Garamond" w:cs="Garamond"/>
              <w:color w:val="231F20"/>
              <w:sz w:val="15"/>
              <w:szCs w:val="15"/>
              <w:lang w:val="en-GB"/>
            </w:rPr>
            <w:t xml:space="preserve">, A., Crowley, S., Cumming, O., Freeman, M. C., Haque, R., Mengistu, B., Oswald, W. E., Pullan, R. L., Oliveira, R. G., </w:t>
          </w:r>
          <w:proofErr w:type="spellStart"/>
          <w:r w:rsidRPr="008F221B">
            <w:rPr>
              <w:rFonts w:ascii="Garamond" w:eastAsia="Garamond" w:hAnsi="Garamond" w:cs="Garamond"/>
              <w:color w:val="231F20"/>
              <w:sz w:val="15"/>
              <w:szCs w:val="15"/>
              <w:lang w:val="en-GB"/>
            </w:rPr>
            <w:t>Einterz</w:t>
          </w:r>
          <w:proofErr w:type="spellEnd"/>
          <w:r w:rsidRPr="008F221B">
            <w:rPr>
              <w:rFonts w:ascii="Garamond" w:eastAsia="Garamond" w:hAnsi="Garamond" w:cs="Garamond"/>
              <w:color w:val="231F20"/>
              <w:sz w:val="15"/>
              <w:szCs w:val="15"/>
              <w:lang w:val="en-GB"/>
            </w:rPr>
            <w:t xml:space="preserve"> Owen, K., … Brooker, S. J. (2019). The role of water, sanitation and hygiene interventions in reducing soil-</w:t>
          </w:r>
          <w:r w:rsidRPr="008F221B">
            <w:rPr>
              <w:rFonts w:ascii="Garamond" w:eastAsia="Garamond" w:hAnsi="Garamond" w:cs="Garamond"/>
              <w:color w:val="231F20"/>
              <w:sz w:val="15"/>
              <w:szCs w:val="15"/>
              <w:lang w:val="en-GB"/>
            </w:rPr>
            <w:lastRenderedPageBreak/>
            <w:t>transmitted helminths: interpreting the evidence and identifying next steps. Parasites &amp; Vectors, 12(1), 273. https://doi.org/10.1186/s13071-019-3532-6</w:t>
          </w:r>
        </w:p>
        <w:p w14:paraId="110F0191" w14:textId="1DF5DC46" w:rsidR="008F221B" w:rsidRPr="001B254F" w:rsidRDefault="008F221B" w:rsidP="001B254F">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World Health Organization. (2023). Neglected tropical diseases. World Health Organization. </w:t>
          </w:r>
          <w:r w:rsidRPr="001B254F">
            <w:rPr>
              <w:rFonts w:ascii="Garamond" w:eastAsia="Garamond" w:hAnsi="Garamond" w:cs="Garamond"/>
              <w:color w:val="231F20"/>
              <w:sz w:val="15"/>
              <w:szCs w:val="15"/>
              <w:lang w:val="en-GB"/>
            </w:rPr>
            <w:t>https://www.who.int/health-topics/neglected-tropical-diseases#tab=tab_1</w:t>
          </w:r>
        </w:p>
        <w:p w14:paraId="07BBDE9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Freeman, M. C., Akogun, O., Belizario, V. Y., Brooker, S., Gyorkos, T. W., Imtiaz, R., </w:t>
          </w:r>
          <w:proofErr w:type="spellStart"/>
          <w:r w:rsidRPr="008F221B">
            <w:rPr>
              <w:rFonts w:ascii="Garamond" w:eastAsia="Garamond" w:hAnsi="Garamond" w:cs="Garamond"/>
              <w:color w:val="231F20"/>
              <w:sz w:val="15"/>
              <w:szCs w:val="15"/>
              <w:lang w:val="en-GB"/>
            </w:rPr>
            <w:t>Krolewiecki</w:t>
          </w:r>
          <w:proofErr w:type="spellEnd"/>
          <w:r w:rsidRPr="008F221B">
            <w:rPr>
              <w:rFonts w:ascii="Garamond" w:eastAsia="Garamond" w:hAnsi="Garamond" w:cs="Garamond"/>
              <w:color w:val="231F20"/>
              <w:sz w:val="15"/>
              <w:szCs w:val="15"/>
              <w:lang w:val="en-GB"/>
            </w:rPr>
            <w:t xml:space="preserve">, A., Lee, S. H., Sultani, H. M., Pullan, R. L., &amp; Utzinger, J. (2019). Challenges and opportunities for control and elimination of soil-transmitted helminth infection beyond 2020. PLOS Neglected Tropical Diseases, 13(4), e0007201. https://doi.org/10.1371/journal.pntd.0007201 </w:t>
          </w:r>
        </w:p>
        <w:p w14:paraId="4D55E758"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 Moser, W., Schindler, C., &amp; Keiser, J. (2017). Efficacy of recommended drugs against soil transmitted helminths: systematic review and network meta-analysis. BMJ (Clinical Research Ed.), 358, j4307. https://doi.org/10.1136/bmj.j4307 </w:t>
          </w:r>
        </w:p>
        <w:p w14:paraId="7398FB2D"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United Nations High Commissioner for Refugees. (2023). Refugee statistics. UNHCR. </w:t>
          </w:r>
        </w:p>
        <w:p w14:paraId="4EE8CFE1"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https://www.unhcr.org/refugee-statistics/</w:t>
          </w:r>
        </w:p>
        <w:p w14:paraId="547BBF2E"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Lebu</w:t>
          </w:r>
          <w:proofErr w:type="spellEnd"/>
          <w:r w:rsidRPr="008F221B">
            <w:rPr>
              <w:rFonts w:ascii="Garamond" w:eastAsia="Garamond" w:hAnsi="Garamond" w:cs="Garamond"/>
              <w:color w:val="231F20"/>
              <w:sz w:val="15"/>
              <w:szCs w:val="15"/>
              <w:lang w:val="en-GB"/>
            </w:rPr>
            <w:t xml:space="preserve">, S., </w:t>
          </w:r>
          <w:proofErr w:type="spellStart"/>
          <w:r w:rsidRPr="008F221B">
            <w:rPr>
              <w:rFonts w:ascii="Garamond" w:eastAsia="Garamond" w:hAnsi="Garamond" w:cs="Garamond"/>
              <w:color w:val="231F20"/>
              <w:sz w:val="15"/>
              <w:szCs w:val="15"/>
              <w:lang w:val="en-GB"/>
            </w:rPr>
            <w:t>Kibone</w:t>
          </w:r>
          <w:proofErr w:type="spellEnd"/>
          <w:r w:rsidRPr="008F221B">
            <w:rPr>
              <w:rFonts w:ascii="Garamond" w:eastAsia="Garamond" w:hAnsi="Garamond" w:cs="Garamond"/>
              <w:color w:val="231F20"/>
              <w:sz w:val="15"/>
              <w:szCs w:val="15"/>
              <w:lang w:val="en-GB"/>
            </w:rPr>
            <w:t xml:space="preserve">, W., </w:t>
          </w:r>
          <w:proofErr w:type="spellStart"/>
          <w:r w:rsidRPr="008F221B">
            <w:rPr>
              <w:rFonts w:ascii="Garamond" w:eastAsia="Garamond" w:hAnsi="Garamond" w:cs="Garamond"/>
              <w:color w:val="231F20"/>
              <w:sz w:val="15"/>
              <w:szCs w:val="15"/>
              <w:lang w:val="en-GB"/>
            </w:rPr>
            <w:t>Muoghalu</w:t>
          </w:r>
          <w:proofErr w:type="spellEnd"/>
          <w:r w:rsidRPr="008F221B">
            <w:rPr>
              <w:rFonts w:ascii="Garamond" w:eastAsia="Garamond" w:hAnsi="Garamond" w:cs="Garamond"/>
              <w:color w:val="231F20"/>
              <w:sz w:val="15"/>
              <w:szCs w:val="15"/>
              <w:lang w:val="en-GB"/>
            </w:rPr>
            <w:t xml:space="preserve">, C. C., </w:t>
          </w:r>
          <w:proofErr w:type="spellStart"/>
          <w:r w:rsidRPr="008F221B">
            <w:rPr>
              <w:rFonts w:ascii="Garamond" w:eastAsia="Garamond" w:hAnsi="Garamond" w:cs="Garamond"/>
              <w:color w:val="231F20"/>
              <w:sz w:val="15"/>
              <w:szCs w:val="15"/>
              <w:lang w:val="en-GB"/>
            </w:rPr>
            <w:t>Ochaya</w:t>
          </w:r>
          <w:proofErr w:type="spellEnd"/>
          <w:r w:rsidRPr="008F221B">
            <w:rPr>
              <w:rFonts w:ascii="Garamond" w:eastAsia="Garamond" w:hAnsi="Garamond" w:cs="Garamond"/>
              <w:color w:val="231F20"/>
              <w:sz w:val="15"/>
              <w:szCs w:val="15"/>
              <w:lang w:val="en-GB"/>
            </w:rPr>
            <w:t xml:space="preserve">, S., Salzberg, A., </w:t>
          </w:r>
          <w:proofErr w:type="spellStart"/>
          <w:r w:rsidRPr="008F221B">
            <w:rPr>
              <w:rFonts w:ascii="Garamond" w:eastAsia="Garamond" w:hAnsi="Garamond" w:cs="Garamond"/>
              <w:color w:val="231F20"/>
              <w:sz w:val="15"/>
              <w:szCs w:val="15"/>
              <w:lang w:val="en-GB"/>
            </w:rPr>
            <w:t>Bongomin</w:t>
          </w:r>
          <w:proofErr w:type="spellEnd"/>
          <w:r w:rsidRPr="008F221B">
            <w:rPr>
              <w:rFonts w:ascii="Garamond" w:eastAsia="Garamond" w:hAnsi="Garamond" w:cs="Garamond"/>
              <w:color w:val="231F20"/>
              <w:sz w:val="15"/>
              <w:szCs w:val="15"/>
              <w:lang w:val="en-GB"/>
            </w:rPr>
            <w:t>, F., &amp; Manga, M. (2023). Soil-transmitted helminths: A critical review of the impact of co-infections and implications for control and elimination. PLOS Neglected Tropical Diseases, 17(8), e0011496. https://doi.org/10.1371/journal.pntd.0011496</w:t>
          </w:r>
        </w:p>
        <w:p w14:paraId="2A623CC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Naing, C., Tung, W. S., Htet, N. H., Aung, H. H., &amp; Whittaker, M. A. (2023). Community engagement in health services research on soil-transmitted helminthiasis in Asia Pacific region: Systematic review. PLOS Global Public Health, 3(3), e0001694. https://doi.org/10.1371/journal.pgph.0001694 </w:t>
          </w:r>
        </w:p>
        <w:p w14:paraId="15C160F4"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Brummaier</w:t>
          </w:r>
          <w:proofErr w:type="spellEnd"/>
          <w:r w:rsidRPr="008F221B">
            <w:rPr>
              <w:rFonts w:ascii="Garamond" w:eastAsia="Garamond" w:hAnsi="Garamond" w:cs="Garamond"/>
              <w:color w:val="231F20"/>
              <w:sz w:val="15"/>
              <w:szCs w:val="15"/>
              <w:lang w:val="en-GB"/>
            </w:rPr>
            <w:t xml:space="preserve">, T., Tun, N. W., Min, A. M., Gilder, M. E., </w:t>
          </w:r>
          <w:proofErr w:type="spellStart"/>
          <w:r w:rsidRPr="008F221B">
            <w:rPr>
              <w:rFonts w:ascii="Garamond" w:eastAsia="Garamond" w:hAnsi="Garamond" w:cs="Garamond"/>
              <w:color w:val="231F20"/>
              <w:sz w:val="15"/>
              <w:szCs w:val="15"/>
              <w:lang w:val="en-GB"/>
            </w:rPr>
            <w:t>Archasuksan</w:t>
          </w:r>
          <w:proofErr w:type="spellEnd"/>
          <w:r w:rsidRPr="008F221B">
            <w:rPr>
              <w:rFonts w:ascii="Garamond" w:eastAsia="Garamond" w:hAnsi="Garamond" w:cs="Garamond"/>
              <w:color w:val="231F20"/>
              <w:sz w:val="15"/>
              <w:szCs w:val="15"/>
              <w:lang w:val="en-GB"/>
            </w:rPr>
            <w:t xml:space="preserve">, L., </w:t>
          </w:r>
          <w:proofErr w:type="spellStart"/>
          <w:r w:rsidRPr="008F221B">
            <w:rPr>
              <w:rFonts w:ascii="Garamond" w:eastAsia="Garamond" w:hAnsi="Garamond" w:cs="Garamond"/>
              <w:color w:val="231F20"/>
              <w:sz w:val="15"/>
              <w:szCs w:val="15"/>
              <w:lang w:val="en-GB"/>
            </w:rPr>
            <w:t>Proux</w:t>
          </w:r>
          <w:proofErr w:type="spellEnd"/>
          <w:r w:rsidRPr="008F221B">
            <w:rPr>
              <w:rFonts w:ascii="Garamond" w:eastAsia="Garamond" w:hAnsi="Garamond" w:cs="Garamond"/>
              <w:color w:val="231F20"/>
              <w:sz w:val="15"/>
              <w:szCs w:val="15"/>
              <w:lang w:val="en-GB"/>
            </w:rPr>
            <w:t xml:space="preserve">, S., </w:t>
          </w:r>
          <w:proofErr w:type="spellStart"/>
          <w:r w:rsidRPr="008F221B">
            <w:rPr>
              <w:rFonts w:ascii="Garamond" w:eastAsia="Garamond" w:hAnsi="Garamond" w:cs="Garamond"/>
              <w:color w:val="231F20"/>
              <w:sz w:val="15"/>
              <w:szCs w:val="15"/>
              <w:lang w:val="en-GB"/>
            </w:rPr>
            <w:t>Kiestra</w:t>
          </w:r>
          <w:proofErr w:type="spellEnd"/>
          <w:r w:rsidRPr="008F221B">
            <w:rPr>
              <w:rFonts w:ascii="Garamond" w:eastAsia="Garamond" w:hAnsi="Garamond" w:cs="Garamond"/>
              <w:color w:val="231F20"/>
              <w:sz w:val="15"/>
              <w:szCs w:val="15"/>
              <w:lang w:val="en-GB"/>
            </w:rPr>
            <w:t xml:space="preserve">, D., </w:t>
          </w:r>
          <w:proofErr w:type="spellStart"/>
          <w:r w:rsidRPr="008F221B">
            <w:rPr>
              <w:rFonts w:ascii="Garamond" w:eastAsia="Garamond" w:hAnsi="Garamond" w:cs="Garamond"/>
              <w:color w:val="231F20"/>
              <w:sz w:val="15"/>
              <w:szCs w:val="15"/>
              <w:lang w:val="en-GB"/>
            </w:rPr>
            <w:t>Charunwatthana</w:t>
          </w:r>
          <w:proofErr w:type="spellEnd"/>
          <w:r w:rsidRPr="008F221B">
            <w:rPr>
              <w:rFonts w:ascii="Garamond" w:eastAsia="Garamond" w:hAnsi="Garamond" w:cs="Garamond"/>
              <w:color w:val="231F20"/>
              <w:sz w:val="15"/>
              <w:szCs w:val="15"/>
              <w:lang w:val="en-GB"/>
            </w:rPr>
            <w:t xml:space="preserve">, P., Utzinger, J., Paris, D. H., Nacher, M., Simpson, J. A., </w:t>
          </w:r>
          <w:proofErr w:type="spellStart"/>
          <w:r w:rsidRPr="008F221B">
            <w:rPr>
              <w:rFonts w:ascii="Garamond" w:eastAsia="Garamond" w:hAnsi="Garamond" w:cs="Garamond"/>
              <w:color w:val="231F20"/>
              <w:sz w:val="15"/>
              <w:szCs w:val="15"/>
              <w:lang w:val="en-GB"/>
            </w:rPr>
            <w:t>Nosten</w:t>
          </w:r>
          <w:proofErr w:type="spellEnd"/>
          <w:r w:rsidRPr="008F221B">
            <w:rPr>
              <w:rFonts w:ascii="Garamond" w:eastAsia="Garamond" w:hAnsi="Garamond" w:cs="Garamond"/>
              <w:color w:val="231F20"/>
              <w:sz w:val="15"/>
              <w:szCs w:val="15"/>
              <w:lang w:val="en-GB"/>
            </w:rPr>
            <w:t>, F., &amp;amp; McGready, R. (2021). Burden of soil-transmitted helminth infection in pregnant refugees and migrants on the Thailand-Myanmar border: Results from a retrospective cohort. PLOS Neglected Tropical Diseases, 15(3). https://doi.org/10.1371/journal.pntd.0009219</w:t>
          </w:r>
        </w:p>
        <w:p w14:paraId="36B123E4"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Hanapi</w:t>
          </w:r>
          <w:proofErr w:type="spellEnd"/>
          <w:r w:rsidRPr="008F221B">
            <w:rPr>
              <w:rFonts w:ascii="Garamond" w:eastAsia="Garamond" w:hAnsi="Garamond" w:cs="Garamond"/>
              <w:color w:val="231F20"/>
              <w:sz w:val="15"/>
              <w:szCs w:val="15"/>
              <w:lang w:val="en-GB"/>
            </w:rPr>
            <w:t xml:space="preserve">, I. R. M., </w:t>
          </w:r>
          <w:proofErr w:type="spellStart"/>
          <w:r w:rsidRPr="008F221B">
            <w:rPr>
              <w:rFonts w:ascii="Garamond" w:eastAsia="Garamond" w:hAnsi="Garamond" w:cs="Garamond"/>
              <w:color w:val="231F20"/>
              <w:sz w:val="15"/>
              <w:szCs w:val="15"/>
              <w:lang w:val="en-GB"/>
            </w:rPr>
            <w:t>Sahimin</w:t>
          </w:r>
          <w:proofErr w:type="spellEnd"/>
          <w:r w:rsidRPr="008F221B">
            <w:rPr>
              <w:rFonts w:ascii="Garamond" w:eastAsia="Garamond" w:hAnsi="Garamond" w:cs="Garamond"/>
              <w:color w:val="231F20"/>
              <w:sz w:val="15"/>
              <w:szCs w:val="15"/>
              <w:lang w:val="en-GB"/>
            </w:rPr>
            <w:t xml:space="preserve">, N., Lewis, J. W., Lau, Y. L., Othman, J., </w:t>
          </w:r>
          <w:proofErr w:type="spellStart"/>
          <w:r w:rsidRPr="008F221B">
            <w:rPr>
              <w:rFonts w:ascii="Garamond" w:eastAsia="Garamond" w:hAnsi="Garamond" w:cs="Garamond"/>
              <w:color w:val="231F20"/>
              <w:sz w:val="15"/>
              <w:szCs w:val="15"/>
              <w:lang w:val="en-GB"/>
            </w:rPr>
            <w:t>Tedong</w:t>
          </w:r>
          <w:proofErr w:type="spellEnd"/>
          <w:r w:rsidRPr="008F221B">
            <w:rPr>
              <w:rFonts w:ascii="Garamond" w:eastAsia="Garamond" w:hAnsi="Garamond" w:cs="Garamond"/>
              <w:color w:val="231F20"/>
              <w:sz w:val="15"/>
              <w:szCs w:val="15"/>
              <w:lang w:val="en-GB"/>
            </w:rPr>
            <w:t>, P. A., &amp; Mohn Zain, S. N. (2021). Public health status of Myanmar refugees in South East Asia: A Malaysian case study. Tropical Biomedicine, 38(4), 594–604. https://doi.org/10.47665/tb.38.4.103</w:t>
          </w:r>
        </w:p>
        <w:p w14:paraId="44BAC4F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Noor, Z., Hossain, B., Khan, S. S., Kabir, M., Bhuiyan, A. T. M. R. H., Alam, M. S., Faruque, A. S. G., &amp; Haque, R. (2023). Prevalence of Soil-Transmitted Helminths at Baseline and after Albendazole Treatment in the School-Age Children of Forcibly Displaced Myanmar Nationals in Bangladesh. The American Journal of Tropical Medicine and Hygiene, 109(3), 656–666. https://doi.org/10.4269/ajtmh.23-0260</w:t>
          </w:r>
        </w:p>
        <w:p w14:paraId="4C22D0C2"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Amrith, S. S. (2014). Migration and health in southeast Asian history. The Lancet, 384(9954), 1569–1570. https://doi.org/10.1016/s0140-6736(14)61976-0</w:t>
          </w:r>
        </w:p>
        <w:p w14:paraId="6EAF6F93"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 World Bank Group. (2023). The World by Income and Region. https://datatopics.worldbank.org/world-development-indicators/the-world-by-income-and-region.html</w:t>
          </w:r>
        </w:p>
        <w:p w14:paraId="5B58571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Office of the United Nations High Commissioner for Human Rights (OHCHR). (2023). Call for contributions: international community’s treatment of those fleeing Myanmar. Office of the United Nations High Commissioner for Human Rights. https://www.ohchr.org/en/calls-for-input/2023/call-contributions-international-communitys-treatment-those-fleeing-myanmar</w:t>
          </w:r>
        </w:p>
        <w:p w14:paraId="6711A40F"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 Gordon, C. A., </w:t>
          </w:r>
          <w:proofErr w:type="spellStart"/>
          <w:r w:rsidRPr="008F221B">
            <w:rPr>
              <w:rFonts w:ascii="Garamond" w:eastAsia="Garamond" w:hAnsi="Garamond" w:cs="Garamond"/>
              <w:color w:val="231F20"/>
              <w:sz w:val="15"/>
              <w:szCs w:val="15"/>
              <w:lang w:val="en-GB"/>
            </w:rPr>
            <w:t>Kurscheid</w:t>
          </w:r>
          <w:proofErr w:type="spellEnd"/>
          <w:r w:rsidRPr="008F221B">
            <w:rPr>
              <w:rFonts w:ascii="Garamond" w:eastAsia="Garamond" w:hAnsi="Garamond" w:cs="Garamond"/>
              <w:color w:val="231F20"/>
              <w:sz w:val="15"/>
              <w:szCs w:val="15"/>
              <w:lang w:val="en-GB"/>
            </w:rPr>
            <w:t>, J., Jones, M. K., Gray, D. J., &amp; McManus, D. P. (2017). Soil-Transmitted Helminths in Tropical Australia and Asia. Tropical Medicine and Infectious Disease, 2(4), 56. https://doi.org/10.3390/tropicalmed2040056</w:t>
          </w:r>
        </w:p>
        <w:p w14:paraId="2ACFAEB7"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Duffey, M. M., Patel, T., </w:t>
          </w:r>
          <w:proofErr w:type="spellStart"/>
          <w:r w:rsidRPr="008F221B">
            <w:rPr>
              <w:rFonts w:ascii="Garamond" w:eastAsia="Garamond" w:hAnsi="Garamond" w:cs="Garamond"/>
              <w:color w:val="231F20"/>
              <w:sz w:val="15"/>
              <w:szCs w:val="15"/>
              <w:lang w:val="en-GB"/>
            </w:rPr>
            <w:t>Koukaz</w:t>
          </w:r>
          <w:proofErr w:type="spellEnd"/>
          <w:r w:rsidRPr="008F221B">
            <w:rPr>
              <w:rFonts w:ascii="Garamond" w:eastAsia="Garamond" w:hAnsi="Garamond" w:cs="Garamond"/>
              <w:color w:val="231F20"/>
              <w:sz w:val="15"/>
              <w:szCs w:val="15"/>
              <w:lang w:val="en-GB"/>
            </w:rPr>
            <w:t>, Y., Sepulveda, T., Barbour, K., Fredricks, K., &amp; Weatherhead, J. E. (2022). The impact of neglected tropical diseases on women and girl refugees: A call for increased awareness and strategic intervention. Frontiers in Tropical Diseases, 3. https://doi.org/10.3389/fitd.2022.1095174</w:t>
          </w:r>
        </w:p>
        <w:p w14:paraId="7C6E5F18"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Reynolds, L., &amp; </w:t>
          </w:r>
          <w:proofErr w:type="spellStart"/>
          <w:r w:rsidRPr="008F221B">
            <w:rPr>
              <w:rFonts w:ascii="Garamond" w:eastAsia="Garamond" w:hAnsi="Garamond" w:cs="Garamond"/>
              <w:color w:val="231F20"/>
              <w:sz w:val="15"/>
              <w:szCs w:val="15"/>
              <w:lang w:val="en-GB"/>
            </w:rPr>
            <w:t>Sariola</w:t>
          </w:r>
          <w:proofErr w:type="spellEnd"/>
          <w:r w:rsidRPr="008F221B">
            <w:rPr>
              <w:rFonts w:ascii="Garamond" w:eastAsia="Garamond" w:hAnsi="Garamond" w:cs="Garamond"/>
              <w:color w:val="231F20"/>
              <w:sz w:val="15"/>
              <w:szCs w:val="15"/>
              <w:lang w:val="en-GB"/>
            </w:rPr>
            <w:t>, S. (2018). The ethics and politics of community engagement in global health research. Critical Public Health, 28(3), 257–268. https://doi.org/10.1080/09581596.2018.1449598</w:t>
          </w:r>
        </w:p>
        <w:p w14:paraId="314319E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Pratt, B., Cheah, P. Y., &amp; Marsh, V. (2020). Solidarity and Community Engagement in Global Health Research. The American Journal of Bioethics: AJOB, 20(5), 43–56. https://doi.org/10.1080/15265161.2020.1745930</w:t>
          </w:r>
        </w:p>
        <w:p w14:paraId="764561E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Sanders Thompson V. L., Ackermann N., Bauer K. L., Bowen D.J., Goodman M. S. (2021). Strategies of community engagement in research: definitions and classifications, Translational </w:t>
          </w:r>
          <w:proofErr w:type="spellStart"/>
          <w:r w:rsidRPr="008F221B">
            <w:rPr>
              <w:rFonts w:ascii="Garamond" w:eastAsia="Garamond" w:hAnsi="Garamond" w:cs="Garamond"/>
              <w:color w:val="231F20"/>
              <w:sz w:val="15"/>
              <w:szCs w:val="15"/>
              <w:lang w:val="en-GB"/>
            </w:rPr>
            <w:t>Behavioral</w:t>
          </w:r>
          <w:proofErr w:type="spellEnd"/>
          <w:r w:rsidRPr="008F221B">
            <w:rPr>
              <w:rFonts w:ascii="Garamond" w:eastAsia="Garamond" w:hAnsi="Garamond" w:cs="Garamond"/>
              <w:color w:val="231F20"/>
              <w:sz w:val="15"/>
              <w:szCs w:val="15"/>
              <w:lang w:val="en-GB"/>
            </w:rPr>
            <w:t xml:space="preserve"> Medicine, 11(2), 441-451. https://doi.org/10.1093/tbm/ibaa042</w:t>
          </w:r>
        </w:p>
        <w:p w14:paraId="5EC98A1F"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King, K.F., </w:t>
          </w:r>
          <w:proofErr w:type="spellStart"/>
          <w:r w:rsidRPr="008F221B">
            <w:rPr>
              <w:rFonts w:ascii="Garamond" w:eastAsia="Garamond" w:hAnsi="Garamond" w:cs="Garamond"/>
              <w:color w:val="231F20"/>
              <w:sz w:val="15"/>
              <w:szCs w:val="15"/>
              <w:lang w:val="en-GB"/>
            </w:rPr>
            <w:t>Kolopack</w:t>
          </w:r>
          <w:proofErr w:type="spellEnd"/>
          <w:r w:rsidRPr="008F221B">
            <w:rPr>
              <w:rFonts w:ascii="Garamond" w:eastAsia="Garamond" w:hAnsi="Garamond" w:cs="Garamond"/>
              <w:color w:val="231F20"/>
              <w:sz w:val="15"/>
              <w:szCs w:val="15"/>
              <w:lang w:val="en-GB"/>
            </w:rPr>
            <w:t>, P., Merritt, M.W. et al. (2014). Community engagement and the human infrastructure of global health research. BMC Med Ethics 15, 84. https://doi.org/10.1186/1472-6939-15-84</w:t>
          </w:r>
        </w:p>
        <w:p w14:paraId="74C4B1B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 Belizario, V. Y., </w:t>
          </w:r>
          <w:proofErr w:type="spellStart"/>
          <w:r w:rsidRPr="008F221B">
            <w:rPr>
              <w:rFonts w:ascii="Garamond" w:eastAsia="Garamond" w:hAnsi="Garamond" w:cs="Garamond"/>
              <w:color w:val="231F20"/>
              <w:sz w:val="15"/>
              <w:szCs w:val="15"/>
              <w:lang w:val="en-GB"/>
            </w:rPr>
            <w:t>Totañes</w:t>
          </w:r>
          <w:proofErr w:type="spellEnd"/>
          <w:r w:rsidRPr="008F221B">
            <w:rPr>
              <w:rFonts w:ascii="Garamond" w:eastAsia="Garamond" w:hAnsi="Garamond" w:cs="Garamond"/>
              <w:color w:val="231F20"/>
              <w:sz w:val="15"/>
              <w:szCs w:val="15"/>
              <w:lang w:val="en-GB"/>
            </w:rPr>
            <w:t>, F. I. G., de Leon, W. U., &amp; Matias, K. M. H. (2014). School-based control of soil-transmitted helminthiasis in western Visayas, Philippines. Southeast Asian Journal of Tropical Medicine and Public Health, 45(3), 556–567.</w:t>
          </w:r>
        </w:p>
        <w:p w14:paraId="38E35768"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Al-</w:t>
          </w:r>
          <w:proofErr w:type="spellStart"/>
          <w:r w:rsidRPr="008F221B">
            <w:rPr>
              <w:rFonts w:ascii="Garamond" w:eastAsia="Garamond" w:hAnsi="Garamond" w:cs="Garamond"/>
              <w:color w:val="231F20"/>
              <w:sz w:val="15"/>
              <w:szCs w:val="15"/>
              <w:lang w:val="en-GB"/>
            </w:rPr>
            <w:t>Delaimy</w:t>
          </w:r>
          <w:proofErr w:type="spellEnd"/>
          <w:r w:rsidRPr="008F221B">
            <w:rPr>
              <w:rFonts w:ascii="Garamond" w:eastAsia="Garamond" w:hAnsi="Garamond" w:cs="Garamond"/>
              <w:color w:val="231F20"/>
              <w:sz w:val="15"/>
              <w:szCs w:val="15"/>
              <w:lang w:val="en-GB"/>
            </w:rPr>
            <w:t>, A. K., Al-</w:t>
          </w:r>
          <w:proofErr w:type="spellStart"/>
          <w:r w:rsidRPr="008F221B">
            <w:rPr>
              <w:rFonts w:ascii="Garamond" w:eastAsia="Garamond" w:hAnsi="Garamond" w:cs="Garamond"/>
              <w:color w:val="231F20"/>
              <w:sz w:val="15"/>
              <w:szCs w:val="15"/>
              <w:lang w:val="en-GB"/>
            </w:rPr>
            <w:t>Mekhlafi</w:t>
          </w:r>
          <w:proofErr w:type="spellEnd"/>
          <w:r w:rsidRPr="008F221B">
            <w:rPr>
              <w:rFonts w:ascii="Garamond" w:eastAsia="Garamond" w:hAnsi="Garamond" w:cs="Garamond"/>
              <w:color w:val="231F20"/>
              <w:sz w:val="15"/>
              <w:szCs w:val="15"/>
              <w:lang w:val="en-GB"/>
            </w:rPr>
            <w:t xml:space="preserve">, H. M., Lim, Y. A., Nasr, N. A., Sady, H., </w:t>
          </w:r>
          <w:proofErr w:type="spellStart"/>
          <w:r w:rsidRPr="008F221B">
            <w:rPr>
              <w:rFonts w:ascii="Garamond" w:eastAsia="Garamond" w:hAnsi="Garamond" w:cs="Garamond"/>
              <w:color w:val="231F20"/>
              <w:sz w:val="15"/>
              <w:szCs w:val="15"/>
              <w:lang w:val="en-GB"/>
            </w:rPr>
            <w:t>Atroosh</w:t>
          </w:r>
          <w:proofErr w:type="spellEnd"/>
          <w:r w:rsidRPr="008F221B">
            <w:rPr>
              <w:rFonts w:ascii="Garamond" w:eastAsia="Garamond" w:hAnsi="Garamond" w:cs="Garamond"/>
              <w:color w:val="231F20"/>
              <w:sz w:val="15"/>
              <w:szCs w:val="15"/>
              <w:lang w:val="en-GB"/>
            </w:rPr>
            <w:t xml:space="preserve">, W. M., &amp; Mahmud, R. (2014). Developing and evaluating health education learning package (HELP) to control soil-transmitted helminth infections among Orang Asli children in Malaysia. Parasites &amp; Vectors, 7, 416. https://doi.org/10.1186/1756-3305-7-416 </w:t>
          </w:r>
        </w:p>
        <w:p w14:paraId="049D100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Pawestri</w:t>
          </w:r>
          <w:proofErr w:type="spellEnd"/>
          <w:r w:rsidRPr="008F221B">
            <w:rPr>
              <w:rFonts w:ascii="Garamond" w:eastAsia="Garamond" w:hAnsi="Garamond" w:cs="Garamond"/>
              <w:color w:val="231F20"/>
              <w:sz w:val="15"/>
              <w:szCs w:val="15"/>
              <w:lang w:val="en-GB"/>
            </w:rPr>
            <w:t xml:space="preserve">, A. R., Thima, K., </w:t>
          </w:r>
          <w:proofErr w:type="spellStart"/>
          <w:r w:rsidRPr="008F221B">
            <w:rPr>
              <w:rFonts w:ascii="Garamond" w:eastAsia="Garamond" w:hAnsi="Garamond" w:cs="Garamond"/>
              <w:color w:val="231F20"/>
              <w:sz w:val="15"/>
              <w:szCs w:val="15"/>
              <w:lang w:val="en-GB"/>
            </w:rPr>
            <w:t>Leetachewa</w:t>
          </w:r>
          <w:proofErr w:type="spellEnd"/>
          <w:r w:rsidRPr="008F221B">
            <w:rPr>
              <w:rFonts w:ascii="Garamond" w:eastAsia="Garamond" w:hAnsi="Garamond" w:cs="Garamond"/>
              <w:color w:val="231F20"/>
              <w:sz w:val="15"/>
              <w:szCs w:val="15"/>
              <w:lang w:val="en-GB"/>
            </w:rPr>
            <w:t xml:space="preserve">, S., </w:t>
          </w:r>
          <w:proofErr w:type="spellStart"/>
          <w:r w:rsidRPr="008F221B">
            <w:rPr>
              <w:rFonts w:ascii="Garamond" w:eastAsia="Garamond" w:hAnsi="Garamond" w:cs="Garamond"/>
              <w:color w:val="231F20"/>
              <w:sz w:val="15"/>
              <w:szCs w:val="15"/>
              <w:lang w:val="en-GB"/>
            </w:rPr>
            <w:t>Maneekan</w:t>
          </w:r>
          <w:proofErr w:type="spellEnd"/>
          <w:r w:rsidRPr="008F221B">
            <w:rPr>
              <w:rFonts w:ascii="Garamond" w:eastAsia="Garamond" w:hAnsi="Garamond" w:cs="Garamond"/>
              <w:color w:val="231F20"/>
              <w:sz w:val="15"/>
              <w:szCs w:val="15"/>
              <w:lang w:val="en-GB"/>
            </w:rPr>
            <w:t xml:space="preserve">, P., Deesitthivech, O., Pinna, C., </w:t>
          </w:r>
          <w:proofErr w:type="spellStart"/>
          <w:r w:rsidRPr="008F221B">
            <w:rPr>
              <w:rFonts w:ascii="Garamond" w:eastAsia="Garamond" w:hAnsi="Garamond" w:cs="Garamond"/>
              <w:color w:val="231F20"/>
              <w:sz w:val="15"/>
              <w:szCs w:val="15"/>
              <w:lang w:val="en-GB"/>
            </w:rPr>
            <w:t>Yingtaweesak</w:t>
          </w:r>
          <w:proofErr w:type="spellEnd"/>
          <w:r w:rsidRPr="008F221B">
            <w:rPr>
              <w:rFonts w:ascii="Garamond" w:eastAsia="Garamond" w:hAnsi="Garamond" w:cs="Garamond"/>
              <w:color w:val="231F20"/>
              <w:sz w:val="15"/>
              <w:szCs w:val="15"/>
              <w:lang w:val="en-GB"/>
            </w:rPr>
            <w:t xml:space="preserve">, T., &amp; </w:t>
          </w:r>
          <w:proofErr w:type="spellStart"/>
          <w:r w:rsidRPr="008F221B">
            <w:rPr>
              <w:rFonts w:ascii="Garamond" w:eastAsia="Garamond" w:hAnsi="Garamond" w:cs="Garamond"/>
              <w:color w:val="231F20"/>
              <w:sz w:val="15"/>
              <w:szCs w:val="15"/>
              <w:lang w:val="en-GB"/>
            </w:rPr>
            <w:t>Moonsom</w:t>
          </w:r>
          <w:proofErr w:type="spellEnd"/>
          <w:r w:rsidRPr="008F221B">
            <w:rPr>
              <w:rFonts w:ascii="Garamond" w:eastAsia="Garamond" w:hAnsi="Garamond" w:cs="Garamond"/>
              <w:color w:val="231F20"/>
              <w:sz w:val="15"/>
              <w:szCs w:val="15"/>
              <w:lang w:val="en-GB"/>
            </w:rPr>
            <w:t xml:space="preserve">, S. (2021). Seasonal prevalence, risk factors, and One Health intervention for prevention of intestinal parasitic infection in underprivileged communities on the Thai-Myanmar border. International Journal of Infectious Diseases, 105, 152–160. https://doi.org/10.1016/j.ijid.2021.02.015 </w:t>
          </w:r>
        </w:p>
        <w:p w14:paraId="187C3E2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McGarity-Palmer, R., Saw, A., &amp; Keys, C. B. (2023). Community Engagement in Psychosocial Interventions </w:t>
          </w:r>
          <w:proofErr w:type="gramStart"/>
          <w:r w:rsidRPr="008F221B">
            <w:rPr>
              <w:rFonts w:ascii="Garamond" w:eastAsia="Garamond" w:hAnsi="Garamond" w:cs="Garamond"/>
              <w:color w:val="231F20"/>
              <w:sz w:val="15"/>
              <w:szCs w:val="15"/>
              <w:lang w:val="en-GB"/>
            </w:rPr>
            <w:t>With</w:t>
          </w:r>
          <w:proofErr w:type="gramEnd"/>
          <w:r w:rsidRPr="008F221B">
            <w:rPr>
              <w:rFonts w:ascii="Garamond" w:eastAsia="Garamond" w:hAnsi="Garamond" w:cs="Garamond"/>
              <w:color w:val="231F20"/>
              <w:sz w:val="15"/>
              <w:szCs w:val="15"/>
              <w:lang w:val="en-GB"/>
            </w:rPr>
            <w:t xml:space="preserve"> Refugees From Asia: A Systematic Review. Asian American Journal of Psychology, 14(2), 117–132. https://doi.org/10.1037/aap0000285</w:t>
          </w:r>
        </w:p>
        <w:p w14:paraId="71680ED7"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Ali, M., &amp; Shahreen, T. (2024). Innovative sanitation solutions: Evaluating the performance of faecal sludge treatment plant in humanitarian settings: A case study from Rohingya camps in Bangladesh. International Journal of Science and Research Archive, 12, 2747–2810. https://doi.org/10.30574/ijsra.2024.12.1.1145</w:t>
          </w:r>
        </w:p>
        <w:p w14:paraId="400E374E"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Tangseefa</w:t>
          </w:r>
          <w:proofErr w:type="spellEnd"/>
          <w:r w:rsidRPr="008F221B">
            <w:rPr>
              <w:rFonts w:ascii="Garamond" w:eastAsia="Garamond" w:hAnsi="Garamond" w:cs="Garamond"/>
              <w:color w:val="231F20"/>
              <w:sz w:val="15"/>
              <w:szCs w:val="15"/>
              <w:lang w:val="en-GB"/>
            </w:rPr>
            <w:t xml:space="preserve">, D., </w:t>
          </w:r>
          <w:proofErr w:type="spellStart"/>
          <w:r w:rsidRPr="008F221B">
            <w:rPr>
              <w:rFonts w:ascii="Garamond" w:eastAsia="Garamond" w:hAnsi="Garamond" w:cs="Garamond"/>
              <w:color w:val="231F20"/>
              <w:sz w:val="15"/>
              <w:szCs w:val="15"/>
              <w:lang w:val="en-GB"/>
            </w:rPr>
            <w:t>Monthathip</w:t>
          </w:r>
          <w:proofErr w:type="spellEnd"/>
          <w:r w:rsidRPr="008F221B">
            <w:rPr>
              <w:rFonts w:ascii="Garamond" w:eastAsia="Garamond" w:hAnsi="Garamond" w:cs="Garamond"/>
              <w:color w:val="231F20"/>
              <w:sz w:val="15"/>
              <w:szCs w:val="15"/>
              <w:lang w:val="en-GB"/>
            </w:rPr>
            <w:t xml:space="preserve">, K., </w:t>
          </w:r>
          <w:proofErr w:type="spellStart"/>
          <w:r w:rsidRPr="008F221B">
            <w:rPr>
              <w:rFonts w:ascii="Garamond" w:eastAsia="Garamond" w:hAnsi="Garamond" w:cs="Garamond"/>
              <w:color w:val="231F20"/>
              <w:sz w:val="15"/>
              <w:szCs w:val="15"/>
              <w:lang w:val="en-GB"/>
            </w:rPr>
            <w:t>Tuenpakdee</w:t>
          </w:r>
          <w:proofErr w:type="spellEnd"/>
          <w:r w:rsidRPr="008F221B">
            <w:rPr>
              <w:rFonts w:ascii="Garamond" w:eastAsia="Garamond" w:hAnsi="Garamond" w:cs="Garamond"/>
              <w:color w:val="231F20"/>
              <w:sz w:val="15"/>
              <w:szCs w:val="15"/>
              <w:lang w:val="en-GB"/>
            </w:rPr>
            <w:t xml:space="preserve">, N., König, A., </w:t>
          </w:r>
          <w:proofErr w:type="spellStart"/>
          <w:r w:rsidRPr="008F221B">
            <w:rPr>
              <w:rFonts w:ascii="Garamond" w:eastAsia="Garamond" w:hAnsi="Garamond" w:cs="Garamond"/>
              <w:color w:val="231F20"/>
              <w:sz w:val="15"/>
              <w:szCs w:val="15"/>
              <w:lang w:val="en-GB"/>
            </w:rPr>
            <w:t>Kajeechiwa</w:t>
          </w:r>
          <w:proofErr w:type="spellEnd"/>
          <w:r w:rsidRPr="008F221B">
            <w:rPr>
              <w:rFonts w:ascii="Garamond" w:eastAsia="Garamond" w:hAnsi="Garamond" w:cs="Garamond"/>
              <w:color w:val="231F20"/>
              <w:sz w:val="15"/>
              <w:szCs w:val="15"/>
              <w:lang w:val="en-GB"/>
            </w:rPr>
            <w:t xml:space="preserve">, L., May, M. T., </w:t>
          </w:r>
          <w:proofErr w:type="spellStart"/>
          <w:r w:rsidRPr="008F221B">
            <w:rPr>
              <w:rFonts w:ascii="Garamond" w:eastAsia="Garamond" w:hAnsi="Garamond" w:cs="Garamond"/>
              <w:color w:val="231F20"/>
              <w:sz w:val="15"/>
              <w:szCs w:val="15"/>
              <w:lang w:val="en-GB"/>
            </w:rPr>
            <w:t>Nosten</w:t>
          </w:r>
          <w:proofErr w:type="spellEnd"/>
          <w:r w:rsidRPr="008F221B">
            <w:rPr>
              <w:rFonts w:ascii="Garamond" w:eastAsia="Garamond" w:hAnsi="Garamond" w:cs="Garamond"/>
              <w:color w:val="231F20"/>
              <w:sz w:val="15"/>
              <w:szCs w:val="15"/>
              <w:lang w:val="en-GB"/>
            </w:rPr>
            <w:t xml:space="preserve">, S., Saw, W. T., Ma, K., Hashmi, A., Lwin, K. M., Cheah, P. Y., Lorenz, v. S., &amp; </w:t>
          </w:r>
          <w:proofErr w:type="spellStart"/>
          <w:r w:rsidRPr="008F221B">
            <w:rPr>
              <w:rFonts w:ascii="Garamond" w:eastAsia="Garamond" w:hAnsi="Garamond" w:cs="Garamond"/>
              <w:color w:val="231F20"/>
              <w:sz w:val="15"/>
              <w:szCs w:val="15"/>
              <w:lang w:val="en-GB"/>
            </w:rPr>
            <w:t>Nosten</w:t>
          </w:r>
          <w:proofErr w:type="spellEnd"/>
          <w:r w:rsidRPr="008F221B">
            <w:rPr>
              <w:rFonts w:ascii="Garamond" w:eastAsia="Garamond" w:hAnsi="Garamond" w:cs="Garamond"/>
              <w:color w:val="231F20"/>
              <w:sz w:val="15"/>
              <w:szCs w:val="15"/>
              <w:lang w:val="en-GB"/>
            </w:rPr>
            <w:t xml:space="preserve">, F. (2019). “Nine Dimensions”: A multidisciplinary approach for community engagement in a complex postwar border region as part of the targeted malaria elimination in Karen/Kayin State, Myanmar [version 2; peer review: 2 approved]. </w:t>
          </w:r>
          <w:proofErr w:type="spellStart"/>
          <w:r w:rsidRPr="008F221B">
            <w:rPr>
              <w:rFonts w:ascii="Garamond" w:eastAsia="Garamond" w:hAnsi="Garamond" w:cs="Garamond"/>
              <w:color w:val="231F20"/>
              <w:sz w:val="15"/>
              <w:szCs w:val="15"/>
              <w:lang w:val="en-GB"/>
            </w:rPr>
            <w:t>Wellcome</w:t>
          </w:r>
          <w:proofErr w:type="spellEnd"/>
          <w:r w:rsidRPr="008F221B">
            <w:rPr>
              <w:rFonts w:ascii="Garamond" w:eastAsia="Garamond" w:hAnsi="Garamond" w:cs="Garamond"/>
              <w:color w:val="231F20"/>
              <w:sz w:val="15"/>
              <w:szCs w:val="15"/>
              <w:lang w:val="en-GB"/>
            </w:rPr>
            <w:t xml:space="preserve"> Open Research, https://doi.org/10.12688/wellcomeopenres.14698.2</w:t>
          </w:r>
        </w:p>
        <w:p w14:paraId="7C6C8612"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Internal Displacement Monitoring Centre. (2020). Global Report on Internal Displacement. Norwegian Refugee Council. Oslo, Norway. https://www.internal-displacement.org/publications/2020-global-report-on-internal-displacement</w:t>
          </w:r>
        </w:p>
        <w:p w14:paraId="6A605F77"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UN DESA. (2020). International Migrant Stock | Population Division. United Nations Population Division. https://www.un.org/development/desa/pd/content/international-migrant-stock </w:t>
          </w:r>
        </w:p>
        <w:p w14:paraId="0E3B4CE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United Nations High Commissioner for Refugees. (2022). Asia and the Pacific. Global Focus. https://reporting.unhcr.org/operational/regions/asia-and-pacific</w:t>
          </w:r>
        </w:p>
        <w:p w14:paraId="1401BFEA"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Andrews, R. H., </w:t>
          </w:r>
          <w:proofErr w:type="spellStart"/>
          <w:r w:rsidRPr="008F221B">
            <w:rPr>
              <w:rFonts w:ascii="Garamond" w:eastAsia="Garamond" w:hAnsi="Garamond" w:cs="Garamond"/>
              <w:color w:val="231F20"/>
              <w:sz w:val="15"/>
              <w:szCs w:val="15"/>
              <w:lang w:val="en-GB"/>
            </w:rPr>
            <w:t>Sithithaworn</w:t>
          </w:r>
          <w:proofErr w:type="spellEnd"/>
          <w:r w:rsidRPr="008F221B">
            <w:rPr>
              <w:rFonts w:ascii="Garamond" w:eastAsia="Garamond" w:hAnsi="Garamond" w:cs="Garamond"/>
              <w:color w:val="231F20"/>
              <w:sz w:val="15"/>
              <w:szCs w:val="15"/>
              <w:lang w:val="en-GB"/>
            </w:rPr>
            <w:t xml:space="preserve">, P., &amp; </w:t>
          </w:r>
          <w:proofErr w:type="spellStart"/>
          <w:r w:rsidRPr="008F221B">
            <w:rPr>
              <w:rFonts w:ascii="Garamond" w:eastAsia="Garamond" w:hAnsi="Garamond" w:cs="Garamond"/>
              <w:color w:val="231F20"/>
              <w:sz w:val="15"/>
              <w:szCs w:val="15"/>
              <w:lang w:val="en-GB"/>
            </w:rPr>
            <w:t>Petney</w:t>
          </w:r>
          <w:proofErr w:type="spellEnd"/>
          <w:r w:rsidRPr="008F221B">
            <w:rPr>
              <w:rFonts w:ascii="Garamond" w:eastAsia="Garamond" w:hAnsi="Garamond" w:cs="Garamond"/>
              <w:color w:val="231F20"/>
              <w:sz w:val="15"/>
              <w:szCs w:val="15"/>
              <w:lang w:val="en-GB"/>
            </w:rPr>
            <w:t xml:space="preserve">, T. N. (2008). Opisthorchis </w:t>
          </w:r>
          <w:proofErr w:type="spellStart"/>
          <w:r w:rsidRPr="008F221B">
            <w:rPr>
              <w:rFonts w:ascii="Garamond" w:eastAsia="Garamond" w:hAnsi="Garamond" w:cs="Garamond"/>
              <w:color w:val="231F20"/>
              <w:sz w:val="15"/>
              <w:szCs w:val="15"/>
              <w:lang w:val="en-GB"/>
            </w:rPr>
            <w:t>viverrini</w:t>
          </w:r>
          <w:proofErr w:type="spellEnd"/>
          <w:r w:rsidRPr="008F221B">
            <w:rPr>
              <w:rFonts w:ascii="Garamond" w:eastAsia="Garamond" w:hAnsi="Garamond" w:cs="Garamond"/>
              <w:color w:val="231F20"/>
              <w:sz w:val="15"/>
              <w:szCs w:val="15"/>
              <w:lang w:val="en-GB"/>
            </w:rPr>
            <w:t>: an underestimated parasite in world health. Trends in Parasitology, 24(11), 497-501. https://doi.org/10.1016/j.pt.2008.08.011</w:t>
          </w:r>
        </w:p>
        <w:p w14:paraId="222C3BDE"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Suphanchaimat</w:t>
          </w:r>
          <w:proofErr w:type="spellEnd"/>
          <w:r w:rsidRPr="008F221B">
            <w:rPr>
              <w:rFonts w:ascii="Garamond" w:eastAsia="Garamond" w:hAnsi="Garamond" w:cs="Garamond"/>
              <w:color w:val="231F20"/>
              <w:sz w:val="15"/>
              <w:szCs w:val="15"/>
              <w:lang w:val="en-GB"/>
            </w:rPr>
            <w:t xml:space="preserve">, R., </w:t>
          </w:r>
          <w:proofErr w:type="spellStart"/>
          <w:r w:rsidRPr="008F221B">
            <w:rPr>
              <w:rFonts w:ascii="Garamond" w:eastAsia="Garamond" w:hAnsi="Garamond" w:cs="Garamond"/>
              <w:color w:val="231F20"/>
              <w:sz w:val="15"/>
              <w:szCs w:val="15"/>
              <w:lang w:val="en-GB"/>
            </w:rPr>
            <w:t>Kantamaturapoj</w:t>
          </w:r>
          <w:proofErr w:type="spellEnd"/>
          <w:r w:rsidRPr="008F221B">
            <w:rPr>
              <w:rFonts w:ascii="Garamond" w:eastAsia="Garamond" w:hAnsi="Garamond" w:cs="Garamond"/>
              <w:color w:val="231F20"/>
              <w:sz w:val="15"/>
              <w:szCs w:val="15"/>
              <w:lang w:val="en-GB"/>
            </w:rPr>
            <w:t xml:space="preserve">, K., </w:t>
          </w:r>
          <w:proofErr w:type="spellStart"/>
          <w:r w:rsidRPr="008F221B">
            <w:rPr>
              <w:rFonts w:ascii="Garamond" w:eastAsia="Garamond" w:hAnsi="Garamond" w:cs="Garamond"/>
              <w:color w:val="231F20"/>
              <w:sz w:val="15"/>
              <w:szCs w:val="15"/>
              <w:lang w:val="en-GB"/>
            </w:rPr>
            <w:t>Putthasri</w:t>
          </w:r>
          <w:proofErr w:type="spellEnd"/>
          <w:r w:rsidRPr="008F221B">
            <w:rPr>
              <w:rFonts w:ascii="Garamond" w:eastAsia="Garamond" w:hAnsi="Garamond" w:cs="Garamond"/>
              <w:color w:val="231F20"/>
              <w:sz w:val="15"/>
              <w:szCs w:val="15"/>
              <w:lang w:val="en-GB"/>
            </w:rPr>
            <w:t xml:space="preserve">, W., &amp; </w:t>
          </w:r>
          <w:proofErr w:type="spellStart"/>
          <w:r w:rsidRPr="008F221B">
            <w:rPr>
              <w:rFonts w:ascii="Garamond" w:eastAsia="Garamond" w:hAnsi="Garamond" w:cs="Garamond"/>
              <w:color w:val="231F20"/>
              <w:sz w:val="15"/>
              <w:szCs w:val="15"/>
              <w:lang w:val="en-GB"/>
            </w:rPr>
            <w:t>Prakongsai</w:t>
          </w:r>
          <w:proofErr w:type="spellEnd"/>
          <w:r w:rsidRPr="008F221B">
            <w:rPr>
              <w:rFonts w:ascii="Garamond" w:eastAsia="Garamond" w:hAnsi="Garamond" w:cs="Garamond"/>
              <w:color w:val="231F20"/>
              <w:sz w:val="15"/>
              <w:szCs w:val="15"/>
              <w:lang w:val="en-GB"/>
            </w:rPr>
            <w:t>, P. (2015). Challenges in the provision of healthcare services for migrants: A systematic review through providers’ lens. BMC Health Services Research, 15(1), 390. https://doi.org/10.1186/s12913-015-</w:t>
          </w:r>
          <w:r w:rsidRPr="008F221B">
            <w:rPr>
              <w:rFonts w:ascii="Garamond" w:eastAsia="Garamond" w:hAnsi="Garamond" w:cs="Garamond"/>
              <w:color w:val="231F20"/>
              <w:sz w:val="15"/>
              <w:szCs w:val="15"/>
              <w:lang w:val="en-GB"/>
            </w:rPr>
            <w:lastRenderedPageBreak/>
            <w:t>1065-z</w:t>
          </w:r>
        </w:p>
        <w:p w14:paraId="16016E8C"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World Health Organization. (2022). Refugee and migrant health. World Health Organization. https://www.who.int/news-room/fact-sheets/detail/refugee-and-migrant-health</w:t>
          </w:r>
        </w:p>
        <w:p w14:paraId="4FFA9B7E"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UNICEF. (n.d.). Migrant and displaced children | UNICEF. https://www.unicef.org/migrant-refugee-internally-displaced-children</w:t>
          </w:r>
        </w:p>
        <w:p w14:paraId="5C2C182C"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ILO. (2015). ILO global estimates on migrant </w:t>
          </w:r>
          <w:proofErr w:type="gramStart"/>
          <w:r w:rsidRPr="008F221B">
            <w:rPr>
              <w:rFonts w:ascii="Garamond" w:eastAsia="Garamond" w:hAnsi="Garamond" w:cs="Garamond"/>
              <w:color w:val="231F20"/>
              <w:sz w:val="15"/>
              <w:szCs w:val="15"/>
              <w:lang w:val="en-GB"/>
            </w:rPr>
            <w:t>workers.[</w:t>
          </w:r>
          <w:proofErr w:type="gramEnd"/>
          <w:r w:rsidRPr="008F221B">
            <w:rPr>
              <w:rFonts w:ascii="Garamond" w:eastAsia="Garamond" w:hAnsi="Garamond" w:cs="Garamond"/>
              <w:color w:val="231F20"/>
              <w:sz w:val="15"/>
              <w:szCs w:val="15"/>
              <w:lang w:val="en-GB"/>
            </w:rPr>
            <w:t>Report]. http://www.ilo.org/global/topics/labour-migration/publications/WCMS_436343/lang--en/index.htm</w:t>
          </w:r>
        </w:p>
        <w:p w14:paraId="22A8434D"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UN Women. (2016). Women refugees and migrants. UN Women – Europe and Central Asia. https://eca.unwomen.org/en/news/in-focus/women-refugees-and-migrants-0</w:t>
          </w:r>
        </w:p>
        <w:p w14:paraId="2C2AA95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Neiderud</w:t>
          </w:r>
          <w:proofErr w:type="spellEnd"/>
          <w:r w:rsidRPr="008F221B">
            <w:rPr>
              <w:rFonts w:ascii="Garamond" w:eastAsia="Garamond" w:hAnsi="Garamond" w:cs="Garamond"/>
              <w:color w:val="231F20"/>
              <w:sz w:val="15"/>
              <w:szCs w:val="15"/>
              <w:lang w:val="en-GB"/>
            </w:rPr>
            <w:t>, C. J. (2015). How urbanization affects the epidemiology of emerging infectious diseases. Infection Ecology &amp; Epidemiology, 5(1), 27060. https://doi.org/10.3402/iee.v5.27060</w:t>
          </w:r>
        </w:p>
        <w:p w14:paraId="7BAFCD5D"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Vegvari</w:t>
          </w:r>
          <w:proofErr w:type="spellEnd"/>
          <w:r w:rsidRPr="008F221B">
            <w:rPr>
              <w:rFonts w:ascii="Garamond" w:eastAsia="Garamond" w:hAnsi="Garamond" w:cs="Garamond"/>
              <w:color w:val="231F20"/>
              <w:sz w:val="15"/>
              <w:szCs w:val="15"/>
              <w:lang w:val="en-GB"/>
            </w:rPr>
            <w:t>, C., Truscott, J. E., Kura, K., &amp; Anderson, R. M. (2019). Human population movement can impede the elimination of soil-transmitted helminth transmission in regions with heterogeneity in mass drug administration coverage and transmission potential between villages: A metapopulation analysis. Parasites &amp; Vectors, 12, 438. https://doi.org/10.1186/s13071-019-3612-7</w:t>
          </w:r>
        </w:p>
        <w:p w14:paraId="226669AA"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World Health Organization. (2023). Sanitation. World Health Organization. https://www.who.int/news-room/fact-sheets/detail/sanitation</w:t>
          </w:r>
        </w:p>
        <w:p w14:paraId="4DF0626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Harkins, B., &amp; Lindgren, D. (2018). Labour migration in the ASEAN region: Assessing the social and economic outcomes for migrant workers. http://www.migratingoutofpoverty.org/files/file.php?name=harkins-labour-migration-in-asean-update.pdf&amp;site=354</w:t>
          </w:r>
        </w:p>
        <w:p w14:paraId="19FC7D8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Vearey, J., Hui, C., &amp;amp; </w:t>
          </w:r>
          <w:proofErr w:type="spellStart"/>
          <w:r w:rsidRPr="008F221B">
            <w:rPr>
              <w:rFonts w:ascii="Garamond" w:eastAsia="Garamond" w:hAnsi="Garamond" w:cs="Garamond"/>
              <w:color w:val="231F20"/>
              <w:sz w:val="15"/>
              <w:szCs w:val="15"/>
              <w:lang w:val="en-GB"/>
            </w:rPr>
            <w:t>Wickramage</w:t>
          </w:r>
          <w:proofErr w:type="spellEnd"/>
          <w:r w:rsidRPr="008F221B">
            <w:rPr>
              <w:rFonts w:ascii="Garamond" w:eastAsia="Garamond" w:hAnsi="Garamond" w:cs="Garamond"/>
              <w:color w:val="231F20"/>
              <w:sz w:val="15"/>
              <w:szCs w:val="15"/>
              <w:lang w:val="en-GB"/>
            </w:rPr>
            <w:t xml:space="preserve">, K. (2019). Migration and health: Current issues, governance and knowledge gaps. UN </w:t>
          </w:r>
          <w:proofErr w:type="spellStart"/>
          <w:r w:rsidRPr="008F221B">
            <w:rPr>
              <w:rFonts w:ascii="Garamond" w:eastAsia="Garamond" w:hAnsi="Garamond" w:cs="Garamond"/>
              <w:color w:val="231F20"/>
              <w:sz w:val="15"/>
              <w:szCs w:val="15"/>
              <w:lang w:val="en-GB"/>
            </w:rPr>
            <w:t>iLibrary</w:t>
          </w:r>
          <w:proofErr w:type="spellEnd"/>
          <w:r w:rsidRPr="008F221B">
            <w:rPr>
              <w:rFonts w:ascii="Garamond" w:eastAsia="Garamond" w:hAnsi="Garamond" w:cs="Garamond"/>
              <w:color w:val="231F20"/>
              <w:sz w:val="15"/>
              <w:szCs w:val="15"/>
              <w:lang w:val="en-GB"/>
            </w:rPr>
            <w:t>. https://www.un-ilibrary.org/content/books/9789290687894s004-c003</w:t>
          </w:r>
        </w:p>
        <w:p w14:paraId="0668C25F"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König, A., Nabieva, J., </w:t>
          </w:r>
          <w:proofErr w:type="spellStart"/>
          <w:r w:rsidRPr="008F221B">
            <w:rPr>
              <w:rFonts w:ascii="Garamond" w:eastAsia="Garamond" w:hAnsi="Garamond" w:cs="Garamond"/>
              <w:color w:val="231F20"/>
              <w:sz w:val="15"/>
              <w:szCs w:val="15"/>
              <w:lang w:val="en-GB"/>
            </w:rPr>
            <w:t>Manssouri</w:t>
          </w:r>
          <w:proofErr w:type="spellEnd"/>
          <w:r w:rsidRPr="008F221B">
            <w:rPr>
              <w:rFonts w:ascii="Garamond" w:eastAsia="Garamond" w:hAnsi="Garamond" w:cs="Garamond"/>
              <w:color w:val="231F20"/>
              <w:sz w:val="15"/>
              <w:szCs w:val="15"/>
              <w:lang w:val="en-GB"/>
            </w:rPr>
            <w:t xml:space="preserve">, A., Antia, K., Dambach, P., Deckert, A., </w:t>
          </w:r>
          <w:proofErr w:type="spellStart"/>
          <w:r w:rsidRPr="008F221B">
            <w:rPr>
              <w:rFonts w:ascii="Garamond" w:eastAsia="Garamond" w:hAnsi="Garamond" w:cs="Garamond"/>
              <w:color w:val="231F20"/>
              <w:sz w:val="15"/>
              <w:szCs w:val="15"/>
              <w:lang w:val="en-GB"/>
            </w:rPr>
            <w:t>Horstick</w:t>
          </w:r>
          <w:proofErr w:type="spellEnd"/>
          <w:r w:rsidRPr="008F221B">
            <w:rPr>
              <w:rFonts w:ascii="Garamond" w:eastAsia="Garamond" w:hAnsi="Garamond" w:cs="Garamond"/>
              <w:color w:val="231F20"/>
              <w:sz w:val="15"/>
              <w:szCs w:val="15"/>
              <w:lang w:val="en-GB"/>
            </w:rPr>
            <w:t>, O., Kohler, S., &amp; Winkler, V. (2022). A Systematic Scoping Review on Migrant Health Coverage in Thailand. Tropical Medicine and Infectious Disease, 7(8), 166. https://doi.org/10.3390/tropicalmed7080166</w:t>
          </w:r>
        </w:p>
        <w:p w14:paraId="7BF56291"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Hardwick, R. J., </w:t>
          </w:r>
          <w:proofErr w:type="spellStart"/>
          <w:r w:rsidRPr="008F221B">
            <w:rPr>
              <w:rFonts w:ascii="Garamond" w:eastAsia="Garamond" w:hAnsi="Garamond" w:cs="Garamond"/>
              <w:color w:val="231F20"/>
              <w:sz w:val="15"/>
              <w:szCs w:val="15"/>
              <w:lang w:val="en-GB"/>
            </w:rPr>
            <w:t>Vegvari</w:t>
          </w:r>
          <w:proofErr w:type="spellEnd"/>
          <w:r w:rsidRPr="008F221B">
            <w:rPr>
              <w:rFonts w:ascii="Garamond" w:eastAsia="Garamond" w:hAnsi="Garamond" w:cs="Garamond"/>
              <w:color w:val="231F20"/>
              <w:sz w:val="15"/>
              <w:szCs w:val="15"/>
              <w:lang w:val="en-GB"/>
            </w:rPr>
            <w:t>, C., Truscott, J. E., &amp; Anderson, R. M. (2020). The 'breakpoint' of soil-transmitted helminths with infected human migration. Journal of Theoretical Biology, 486, 110076. https://doi.org/10.1016/j.jtbi.2019.110076</w:t>
          </w:r>
        </w:p>
        <w:p w14:paraId="0FD34D63"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Aagaard-Hansen, J., </w:t>
          </w:r>
          <w:proofErr w:type="spellStart"/>
          <w:r w:rsidRPr="008F221B">
            <w:rPr>
              <w:rFonts w:ascii="Garamond" w:eastAsia="Garamond" w:hAnsi="Garamond" w:cs="Garamond"/>
              <w:color w:val="231F20"/>
              <w:sz w:val="15"/>
              <w:szCs w:val="15"/>
              <w:lang w:val="en-GB"/>
            </w:rPr>
            <w:t>Nombela</w:t>
          </w:r>
          <w:proofErr w:type="spellEnd"/>
          <w:r w:rsidRPr="008F221B">
            <w:rPr>
              <w:rFonts w:ascii="Garamond" w:eastAsia="Garamond" w:hAnsi="Garamond" w:cs="Garamond"/>
              <w:color w:val="231F20"/>
              <w:sz w:val="15"/>
              <w:szCs w:val="15"/>
              <w:lang w:val="en-GB"/>
            </w:rPr>
            <w:t>, N., &amp; Alvar, J. (2010). Population movement: A key factor in the epidemiology of neglected tropical diseases. Tropical Medicine &amp; International Health, 15(11), 1281–1288. https://doi.org/10.1111/j.1365-3156.2010.02629.x</w:t>
          </w:r>
        </w:p>
        <w:p w14:paraId="384C9A6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Errecaborde</w:t>
          </w:r>
          <w:proofErr w:type="spellEnd"/>
          <w:r w:rsidRPr="008F221B">
            <w:rPr>
              <w:rFonts w:ascii="Garamond" w:eastAsia="Garamond" w:hAnsi="Garamond" w:cs="Garamond"/>
              <w:color w:val="231F20"/>
              <w:sz w:val="15"/>
              <w:szCs w:val="15"/>
              <w:lang w:val="en-GB"/>
            </w:rPr>
            <w:t xml:space="preserve">, K. M., Stauffer, W., &amp; </w:t>
          </w:r>
          <w:proofErr w:type="spellStart"/>
          <w:r w:rsidRPr="008F221B">
            <w:rPr>
              <w:rFonts w:ascii="Garamond" w:eastAsia="Garamond" w:hAnsi="Garamond" w:cs="Garamond"/>
              <w:color w:val="231F20"/>
              <w:sz w:val="15"/>
              <w:szCs w:val="15"/>
              <w:lang w:val="en-GB"/>
            </w:rPr>
            <w:t>Cetron</w:t>
          </w:r>
          <w:proofErr w:type="spellEnd"/>
          <w:r w:rsidRPr="008F221B">
            <w:rPr>
              <w:rFonts w:ascii="Garamond" w:eastAsia="Garamond" w:hAnsi="Garamond" w:cs="Garamond"/>
              <w:color w:val="231F20"/>
              <w:sz w:val="15"/>
              <w:szCs w:val="15"/>
              <w:lang w:val="en-GB"/>
            </w:rPr>
            <w:t xml:space="preserve">, M. (2015). Neglected Tropical Disease Control and Elimination: Is Human Displacement an Achilles Heel? </w:t>
          </w:r>
          <w:proofErr w:type="spellStart"/>
          <w:r w:rsidRPr="008F221B">
            <w:rPr>
              <w:rFonts w:ascii="Garamond" w:eastAsia="Garamond" w:hAnsi="Garamond" w:cs="Garamond"/>
              <w:color w:val="231F20"/>
              <w:sz w:val="15"/>
              <w:szCs w:val="15"/>
              <w:lang w:val="en-GB"/>
            </w:rPr>
            <w:t>PLoS</w:t>
          </w:r>
          <w:proofErr w:type="spellEnd"/>
          <w:r w:rsidRPr="008F221B">
            <w:rPr>
              <w:rFonts w:ascii="Garamond" w:eastAsia="Garamond" w:hAnsi="Garamond" w:cs="Garamond"/>
              <w:color w:val="231F20"/>
              <w:sz w:val="15"/>
              <w:szCs w:val="15"/>
              <w:lang w:val="en-GB"/>
            </w:rPr>
            <w:t xml:space="preserve"> Neglected Tropical Diseases, 9(3), e0003535. https://doi.org/10.1371/journal.pntd.0003535</w:t>
          </w:r>
        </w:p>
        <w:p w14:paraId="6DCCD15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Mascarini</w:t>
          </w:r>
          <w:proofErr w:type="spellEnd"/>
          <w:r w:rsidRPr="008F221B">
            <w:rPr>
              <w:rFonts w:ascii="Garamond" w:eastAsia="Garamond" w:hAnsi="Garamond" w:cs="Garamond"/>
              <w:color w:val="231F20"/>
              <w:sz w:val="15"/>
              <w:szCs w:val="15"/>
              <w:lang w:val="en-GB"/>
            </w:rPr>
            <w:t>-Serra, L. (2011). Prevention of Soil-transmitted Helminth Infection. Journal of Global Infectious Diseases, 3(2), 175–182. https://doi.org/10.4103/0974-777X.81696</w:t>
          </w:r>
        </w:p>
        <w:p w14:paraId="6587C19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Prüss-Ustün</w:t>
          </w:r>
          <w:proofErr w:type="spellEnd"/>
          <w:r w:rsidRPr="008F221B">
            <w:rPr>
              <w:rFonts w:ascii="Garamond" w:eastAsia="Garamond" w:hAnsi="Garamond" w:cs="Garamond"/>
              <w:color w:val="231F20"/>
              <w:sz w:val="15"/>
              <w:szCs w:val="15"/>
              <w:lang w:val="en-GB"/>
            </w:rPr>
            <w:t>, A., Wolf, J., Bartram, J., Clasen, T., Cumming, O., Freeman, M. C., Gordon, B., Hunter, P. R., Medlicott, K., &amp; Johnston, R. (2019). Burden of disease from inadequate water, sanitation and hygiene for selected adverse health outcomes: An updated analysis with a focus on low- and middle-income countries. International Journal of Hygiene and Environmental Health, 222(5), 765–777. https://doi.org/10.1016/j.ijheh.2019.05.004</w:t>
          </w:r>
        </w:p>
        <w:p w14:paraId="241B50C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Osakunor</w:t>
          </w:r>
          <w:proofErr w:type="spellEnd"/>
          <w:r w:rsidRPr="008F221B">
            <w:rPr>
              <w:rFonts w:ascii="Garamond" w:eastAsia="Garamond" w:hAnsi="Garamond" w:cs="Garamond"/>
              <w:color w:val="231F20"/>
              <w:sz w:val="15"/>
              <w:szCs w:val="15"/>
              <w:lang w:val="en-GB"/>
            </w:rPr>
            <w:t xml:space="preserve">, D. N. M., </w:t>
          </w:r>
          <w:proofErr w:type="spellStart"/>
          <w:r w:rsidRPr="008F221B">
            <w:rPr>
              <w:rFonts w:ascii="Garamond" w:eastAsia="Garamond" w:hAnsi="Garamond" w:cs="Garamond"/>
              <w:color w:val="231F20"/>
              <w:sz w:val="15"/>
              <w:szCs w:val="15"/>
              <w:lang w:val="en-GB"/>
            </w:rPr>
            <w:t>Sengeh</w:t>
          </w:r>
          <w:proofErr w:type="spellEnd"/>
          <w:r w:rsidRPr="008F221B">
            <w:rPr>
              <w:rFonts w:ascii="Garamond" w:eastAsia="Garamond" w:hAnsi="Garamond" w:cs="Garamond"/>
              <w:color w:val="231F20"/>
              <w:sz w:val="15"/>
              <w:szCs w:val="15"/>
              <w:lang w:val="en-GB"/>
            </w:rPr>
            <w:t xml:space="preserve">, D. M., &amp; </w:t>
          </w:r>
          <w:proofErr w:type="spellStart"/>
          <w:r w:rsidRPr="008F221B">
            <w:rPr>
              <w:rFonts w:ascii="Garamond" w:eastAsia="Garamond" w:hAnsi="Garamond" w:cs="Garamond"/>
              <w:color w:val="231F20"/>
              <w:sz w:val="15"/>
              <w:szCs w:val="15"/>
              <w:lang w:val="en-GB"/>
            </w:rPr>
            <w:t>Mutapi</w:t>
          </w:r>
          <w:proofErr w:type="spellEnd"/>
          <w:r w:rsidRPr="008F221B">
            <w:rPr>
              <w:rFonts w:ascii="Garamond" w:eastAsia="Garamond" w:hAnsi="Garamond" w:cs="Garamond"/>
              <w:color w:val="231F20"/>
              <w:sz w:val="15"/>
              <w:szCs w:val="15"/>
              <w:lang w:val="en-GB"/>
            </w:rPr>
            <w:t xml:space="preserve">, F. (2018). Coinfections and comorbidities in African health systems: At the interface of infectious and </w:t>
          </w:r>
          <w:proofErr w:type="spellStart"/>
          <w:r w:rsidRPr="008F221B">
            <w:rPr>
              <w:rFonts w:ascii="Garamond" w:eastAsia="Garamond" w:hAnsi="Garamond" w:cs="Garamond"/>
              <w:color w:val="231F20"/>
              <w:sz w:val="15"/>
              <w:szCs w:val="15"/>
              <w:lang w:val="en-GB"/>
            </w:rPr>
            <w:t>noninfectious</w:t>
          </w:r>
          <w:proofErr w:type="spellEnd"/>
          <w:r w:rsidRPr="008F221B">
            <w:rPr>
              <w:rFonts w:ascii="Garamond" w:eastAsia="Garamond" w:hAnsi="Garamond" w:cs="Garamond"/>
              <w:color w:val="231F20"/>
              <w:sz w:val="15"/>
              <w:szCs w:val="15"/>
              <w:lang w:val="en-GB"/>
            </w:rPr>
            <w:t xml:space="preserve"> diseases. </w:t>
          </w:r>
          <w:proofErr w:type="spellStart"/>
          <w:r w:rsidRPr="008F221B">
            <w:rPr>
              <w:rFonts w:ascii="Garamond" w:eastAsia="Garamond" w:hAnsi="Garamond" w:cs="Garamond"/>
              <w:color w:val="231F20"/>
              <w:sz w:val="15"/>
              <w:szCs w:val="15"/>
              <w:lang w:val="en-GB"/>
            </w:rPr>
            <w:t>PLoS</w:t>
          </w:r>
          <w:proofErr w:type="spellEnd"/>
          <w:r w:rsidRPr="008F221B">
            <w:rPr>
              <w:rFonts w:ascii="Garamond" w:eastAsia="Garamond" w:hAnsi="Garamond" w:cs="Garamond"/>
              <w:color w:val="231F20"/>
              <w:sz w:val="15"/>
              <w:szCs w:val="15"/>
              <w:lang w:val="en-GB"/>
            </w:rPr>
            <w:t xml:space="preserve"> Neglected Tropical Diseases, 12(9), e0006711. https://doi.org/10.1371/journal.pntd.0006711</w:t>
          </w:r>
        </w:p>
        <w:p w14:paraId="46F659E7"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Lepper, H. C., Prada, J. M., Davis, E. L., Gunawardena, S. A., &amp; Hollingsworth, T. D. (2018). Complex interactions in soil-transmitted helminth co-infections from a cross-sectional study in Sri Lanka. Transactions of the Royal Society of Tropical Medicine and Hygiene, 112(8), 397–404. https://doi.org/10.1093/trstmh/try068</w:t>
          </w:r>
        </w:p>
        <w:p w14:paraId="73E3BF91"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Sahimin</w:t>
          </w:r>
          <w:proofErr w:type="spellEnd"/>
          <w:r w:rsidRPr="008F221B">
            <w:rPr>
              <w:rFonts w:ascii="Garamond" w:eastAsia="Garamond" w:hAnsi="Garamond" w:cs="Garamond"/>
              <w:color w:val="231F20"/>
              <w:sz w:val="15"/>
              <w:szCs w:val="15"/>
              <w:lang w:val="en-GB"/>
            </w:rPr>
            <w:t>, N., Lim, Y. A., Ariffin, F., Behnke, J. M., Lewis, J. W., &amp; Mohd Zain, S. N. (2016). Migrant workers in Malaysia: Current implications of sociodemographic and environmental characteristics in the transmission of intestinal parasitic infections. PLOS Neglected Tropical Diseases, 10(11). https://doi.org/10.1371/journal.pntd.0005110</w:t>
          </w:r>
        </w:p>
        <w:p w14:paraId="033916EA"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Gomez, S. R., </w:t>
          </w:r>
          <w:proofErr w:type="spellStart"/>
          <w:r w:rsidRPr="008F221B">
            <w:rPr>
              <w:rFonts w:ascii="Garamond" w:eastAsia="Garamond" w:hAnsi="Garamond" w:cs="Garamond"/>
              <w:color w:val="231F20"/>
              <w:sz w:val="15"/>
              <w:szCs w:val="15"/>
              <w:lang w:val="en-GB"/>
            </w:rPr>
            <w:t>Maddren</w:t>
          </w:r>
          <w:proofErr w:type="spellEnd"/>
          <w:r w:rsidRPr="008F221B">
            <w:rPr>
              <w:rFonts w:ascii="Garamond" w:eastAsia="Garamond" w:hAnsi="Garamond" w:cs="Garamond"/>
              <w:color w:val="231F20"/>
              <w:sz w:val="15"/>
              <w:szCs w:val="15"/>
              <w:lang w:val="en-GB"/>
            </w:rPr>
            <w:t xml:space="preserve">, R., </w:t>
          </w:r>
          <w:proofErr w:type="spellStart"/>
          <w:r w:rsidRPr="008F221B">
            <w:rPr>
              <w:rFonts w:ascii="Garamond" w:eastAsia="Garamond" w:hAnsi="Garamond" w:cs="Garamond"/>
              <w:color w:val="231F20"/>
              <w:sz w:val="15"/>
              <w:szCs w:val="15"/>
              <w:lang w:val="en-GB"/>
            </w:rPr>
            <w:t>Liyew</w:t>
          </w:r>
          <w:proofErr w:type="spellEnd"/>
          <w:r w:rsidRPr="008F221B">
            <w:rPr>
              <w:rFonts w:ascii="Garamond" w:eastAsia="Garamond" w:hAnsi="Garamond" w:cs="Garamond"/>
              <w:color w:val="231F20"/>
              <w:sz w:val="15"/>
              <w:szCs w:val="15"/>
              <w:lang w:val="en-GB"/>
            </w:rPr>
            <w:t xml:space="preserve">, E. F., </w:t>
          </w:r>
          <w:proofErr w:type="spellStart"/>
          <w:r w:rsidRPr="008F221B">
            <w:rPr>
              <w:rFonts w:ascii="Garamond" w:eastAsia="Garamond" w:hAnsi="Garamond" w:cs="Garamond"/>
              <w:color w:val="231F20"/>
              <w:sz w:val="15"/>
              <w:szCs w:val="15"/>
              <w:lang w:val="en-GB"/>
            </w:rPr>
            <w:t>Chernet</w:t>
          </w:r>
          <w:proofErr w:type="spellEnd"/>
          <w:r w:rsidRPr="008F221B">
            <w:rPr>
              <w:rFonts w:ascii="Garamond" w:eastAsia="Garamond" w:hAnsi="Garamond" w:cs="Garamond"/>
              <w:color w:val="231F20"/>
              <w:sz w:val="15"/>
              <w:szCs w:val="15"/>
              <w:lang w:val="en-GB"/>
            </w:rPr>
            <w:t xml:space="preserve">, M., </w:t>
          </w:r>
          <w:proofErr w:type="spellStart"/>
          <w:r w:rsidRPr="008F221B">
            <w:rPr>
              <w:rFonts w:ascii="Garamond" w:eastAsia="Garamond" w:hAnsi="Garamond" w:cs="Garamond"/>
              <w:color w:val="231F20"/>
              <w:sz w:val="15"/>
              <w:szCs w:val="15"/>
              <w:lang w:val="en-GB"/>
            </w:rPr>
            <w:t>Anjulo</w:t>
          </w:r>
          <w:proofErr w:type="spellEnd"/>
          <w:r w:rsidRPr="008F221B">
            <w:rPr>
              <w:rFonts w:ascii="Garamond" w:eastAsia="Garamond" w:hAnsi="Garamond" w:cs="Garamond"/>
              <w:color w:val="231F20"/>
              <w:sz w:val="15"/>
              <w:szCs w:val="15"/>
              <w:lang w:val="en-GB"/>
            </w:rPr>
            <w:t xml:space="preserve">, U., Tamiru, A., </w:t>
          </w:r>
          <w:proofErr w:type="spellStart"/>
          <w:r w:rsidRPr="008F221B">
            <w:rPr>
              <w:rFonts w:ascii="Garamond" w:eastAsia="Garamond" w:hAnsi="Garamond" w:cs="Garamond"/>
              <w:color w:val="231F20"/>
              <w:sz w:val="15"/>
              <w:szCs w:val="15"/>
              <w:lang w:val="en-GB"/>
            </w:rPr>
            <w:t>Mengitsu</w:t>
          </w:r>
          <w:proofErr w:type="spellEnd"/>
          <w:r w:rsidRPr="008F221B">
            <w:rPr>
              <w:rFonts w:ascii="Garamond" w:eastAsia="Garamond" w:hAnsi="Garamond" w:cs="Garamond"/>
              <w:color w:val="231F20"/>
              <w:sz w:val="15"/>
              <w:szCs w:val="15"/>
              <w:lang w:val="en-GB"/>
            </w:rPr>
            <w:t xml:space="preserve">, B., Forbes, K., Collyer, B., </w:t>
          </w:r>
          <w:proofErr w:type="spellStart"/>
          <w:r w:rsidRPr="008F221B">
            <w:rPr>
              <w:rFonts w:ascii="Garamond" w:eastAsia="Garamond" w:hAnsi="Garamond" w:cs="Garamond"/>
              <w:color w:val="231F20"/>
              <w:sz w:val="15"/>
              <w:szCs w:val="15"/>
              <w:lang w:val="en-GB"/>
            </w:rPr>
            <w:t>Salasibew</w:t>
          </w:r>
          <w:proofErr w:type="spellEnd"/>
          <w:r w:rsidRPr="008F221B">
            <w:rPr>
              <w:rFonts w:ascii="Garamond" w:eastAsia="Garamond" w:hAnsi="Garamond" w:cs="Garamond"/>
              <w:color w:val="231F20"/>
              <w:sz w:val="15"/>
              <w:szCs w:val="15"/>
              <w:lang w:val="en-GB"/>
            </w:rPr>
            <w:t xml:space="preserve">, M., &amp; Anderson, R. (2023). Predisposition to soil-transmitted helminth reinfection after four rounds of mass drug administration: results from a longitudinal cohort in the </w:t>
          </w:r>
          <w:proofErr w:type="spellStart"/>
          <w:r w:rsidRPr="008F221B">
            <w:rPr>
              <w:rFonts w:ascii="Garamond" w:eastAsia="Garamond" w:hAnsi="Garamond" w:cs="Garamond"/>
              <w:color w:val="231F20"/>
              <w:sz w:val="15"/>
              <w:szCs w:val="15"/>
              <w:lang w:val="en-GB"/>
            </w:rPr>
            <w:t>Geshiyaro</w:t>
          </w:r>
          <w:proofErr w:type="spellEnd"/>
          <w:r w:rsidRPr="008F221B">
            <w:rPr>
              <w:rFonts w:ascii="Garamond" w:eastAsia="Garamond" w:hAnsi="Garamond" w:cs="Garamond"/>
              <w:color w:val="231F20"/>
              <w:sz w:val="15"/>
              <w:szCs w:val="15"/>
              <w:lang w:val="en-GB"/>
            </w:rPr>
            <w:t xml:space="preserve"> project, a transmission elimination feasibility study in the </w:t>
          </w:r>
          <w:proofErr w:type="spellStart"/>
          <w:r w:rsidRPr="008F221B">
            <w:rPr>
              <w:rFonts w:ascii="Garamond" w:eastAsia="Garamond" w:hAnsi="Garamond" w:cs="Garamond"/>
              <w:color w:val="231F20"/>
              <w:sz w:val="15"/>
              <w:szCs w:val="15"/>
              <w:lang w:val="en-GB"/>
            </w:rPr>
            <w:t>Wolaita</w:t>
          </w:r>
          <w:proofErr w:type="spellEnd"/>
          <w:r w:rsidRPr="008F221B">
            <w:rPr>
              <w:rFonts w:ascii="Garamond" w:eastAsia="Garamond" w:hAnsi="Garamond" w:cs="Garamond"/>
              <w:color w:val="231F20"/>
              <w:sz w:val="15"/>
              <w:szCs w:val="15"/>
              <w:lang w:val="en-GB"/>
            </w:rPr>
            <w:t xml:space="preserve"> zone of southern Ethiopia. Transactions of the Royal Society of Tropical Medicine and Hygiene, 117(7), 514–521. https://doi.org/10.1093/trstmh/trad007</w:t>
          </w:r>
        </w:p>
        <w:p w14:paraId="4030BE7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Phillips, A. E., </w:t>
          </w:r>
          <w:proofErr w:type="spellStart"/>
          <w:r w:rsidRPr="008F221B">
            <w:rPr>
              <w:rFonts w:ascii="Garamond" w:eastAsia="Garamond" w:hAnsi="Garamond" w:cs="Garamond"/>
              <w:color w:val="231F20"/>
              <w:sz w:val="15"/>
              <w:szCs w:val="15"/>
              <w:lang w:val="en-GB"/>
            </w:rPr>
            <w:t>Ower</w:t>
          </w:r>
          <w:proofErr w:type="spellEnd"/>
          <w:r w:rsidRPr="008F221B">
            <w:rPr>
              <w:rFonts w:ascii="Garamond" w:eastAsia="Garamond" w:hAnsi="Garamond" w:cs="Garamond"/>
              <w:color w:val="231F20"/>
              <w:sz w:val="15"/>
              <w:szCs w:val="15"/>
              <w:lang w:val="en-GB"/>
            </w:rPr>
            <w:t xml:space="preserve">, A. K., </w:t>
          </w:r>
          <w:proofErr w:type="spellStart"/>
          <w:r w:rsidRPr="008F221B">
            <w:rPr>
              <w:rFonts w:ascii="Garamond" w:eastAsia="Garamond" w:hAnsi="Garamond" w:cs="Garamond"/>
              <w:color w:val="231F20"/>
              <w:sz w:val="15"/>
              <w:szCs w:val="15"/>
              <w:lang w:val="en-GB"/>
            </w:rPr>
            <w:t>Mekete</w:t>
          </w:r>
          <w:proofErr w:type="spellEnd"/>
          <w:r w:rsidRPr="008F221B">
            <w:rPr>
              <w:rFonts w:ascii="Garamond" w:eastAsia="Garamond" w:hAnsi="Garamond" w:cs="Garamond"/>
              <w:color w:val="231F20"/>
              <w:sz w:val="15"/>
              <w:szCs w:val="15"/>
              <w:lang w:val="en-GB"/>
            </w:rPr>
            <w:t xml:space="preserve">, K., </w:t>
          </w:r>
          <w:proofErr w:type="spellStart"/>
          <w:r w:rsidRPr="008F221B">
            <w:rPr>
              <w:rFonts w:ascii="Garamond" w:eastAsia="Garamond" w:hAnsi="Garamond" w:cs="Garamond"/>
              <w:color w:val="231F20"/>
              <w:sz w:val="15"/>
              <w:szCs w:val="15"/>
              <w:lang w:val="en-GB"/>
            </w:rPr>
            <w:t>Liyew</w:t>
          </w:r>
          <w:proofErr w:type="spellEnd"/>
          <w:r w:rsidRPr="008F221B">
            <w:rPr>
              <w:rFonts w:ascii="Garamond" w:eastAsia="Garamond" w:hAnsi="Garamond" w:cs="Garamond"/>
              <w:color w:val="231F20"/>
              <w:sz w:val="15"/>
              <w:szCs w:val="15"/>
              <w:lang w:val="en-GB"/>
            </w:rPr>
            <w:t xml:space="preserve">, E. F., </w:t>
          </w:r>
          <w:proofErr w:type="spellStart"/>
          <w:r w:rsidRPr="008F221B">
            <w:rPr>
              <w:rFonts w:ascii="Garamond" w:eastAsia="Garamond" w:hAnsi="Garamond" w:cs="Garamond"/>
              <w:color w:val="231F20"/>
              <w:sz w:val="15"/>
              <w:szCs w:val="15"/>
              <w:lang w:val="en-GB"/>
            </w:rPr>
            <w:t>Maddren</w:t>
          </w:r>
          <w:proofErr w:type="spellEnd"/>
          <w:r w:rsidRPr="008F221B">
            <w:rPr>
              <w:rFonts w:ascii="Garamond" w:eastAsia="Garamond" w:hAnsi="Garamond" w:cs="Garamond"/>
              <w:color w:val="231F20"/>
              <w:sz w:val="15"/>
              <w:szCs w:val="15"/>
              <w:lang w:val="en-GB"/>
            </w:rPr>
            <w:t xml:space="preserve">, R., Belay, H., </w:t>
          </w:r>
          <w:proofErr w:type="spellStart"/>
          <w:r w:rsidRPr="008F221B">
            <w:rPr>
              <w:rFonts w:ascii="Garamond" w:eastAsia="Garamond" w:hAnsi="Garamond" w:cs="Garamond"/>
              <w:color w:val="231F20"/>
              <w:sz w:val="15"/>
              <w:szCs w:val="15"/>
              <w:lang w:val="en-GB"/>
            </w:rPr>
            <w:t>Chernet</w:t>
          </w:r>
          <w:proofErr w:type="spellEnd"/>
          <w:r w:rsidRPr="008F221B">
            <w:rPr>
              <w:rFonts w:ascii="Garamond" w:eastAsia="Garamond" w:hAnsi="Garamond" w:cs="Garamond"/>
              <w:color w:val="231F20"/>
              <w:sz w:val="15"/>
              <w:szCs w:val="15"/>
              <w:lang w:val="en-GB"/>
            </w:rPr>
            <w:t xml:space="preserve">, M., </w:t>
          </w:r>
          <w:proofErr w:type="spellStart"/>
          <w:r w:rsidRPr="008F221B">
            <w:rPr>
              <w:rFonts w:ascii="Garamond" w:eastAsia="Garamond" w:hAnsi="Garamond" w:cs="Garamond"/>
              <w:color w:val="231F20"/>
              <w:sz w:val="15"/>
              <w:szCs w:val="15"/>
              <w:lang w:val="en-GB"/>
            </w:rPr>
            <w:t>Anjulo</w:t>
          </w:r>
          <w:proofErr w:type="spellEnd"/>
          <w:r w:rsidRPr="008F221B">
            <w:rPr>
              <w:rFonts w:ascii="Garamond" w:eastAsia="Garamond" w:hAnsi="Garamond" w:cs="Garamond"/>
              <w:color w:val="231F20"/>
              <w:sz w:val="15"/>
              <w:szCs w:val="15"/>
              <w:lang w:val="en-GB"/>
            </w:rPr>
            <w:t xml:space="preserve">, U., Mengistu, B., </w:t>
          </w:r>
          <w:proofErr w:type="spellStart"/>
          <w:r w:rsidRPr="008F221B">
            <w:rPr>
              <w:rFonts w:ascii="Garamond" w:eastAsia="Garamond" w:hAnsi="Garamond" w:cs="Garamond"/>
              <w:color w:val="231F20"/>
              <w:sz w:val="15"/>
              <w:szCs w:val="15"/>
              <w:lang w:val="en-GB"/>
            </w:rPr>
            <w:t>Salasibew</w:t>
          </w:r>
          <w:proofErr w:type="spellEnd"/>
          <w:r w:rsidRPr="008F221B">
            <w:rPr>
              <w:rFonts w:ascii="Garamond" w:eastAsia="Garamond" w:hAnsi="Garamond" w:cs="Garamond"/>
              <w:color w:val="231F20"/>
              <w:sz w:val="15"/>
              <w:szCs w:val="15"/>
              <w:lang w:val="en-GB"/>
            </w:rPr>
            <w:t xml:space="preserve">, M., </w:t>
          </w:r>
          <w:proofErr w:type="spellStart"/>
          <w:r w:rsidRPr="008F221B">
            <w:rPr>
              <w:rFonts w:ascii="Garamond" w:eastAsia="Garamond" w:hAnsi="Garamond" w:cs="Garamond"/>
              <w:color w:val="231F20"/>
              <w:sz w:val="15"/>
              <w:szCs w:val="15"/>
              <w:lang w:val="en-GB"/>
            </w:rPr>
            <w:t>Tasew</w:t>
          </w:r>
          <w:proofErr w:type="spellEnd"/>
          <w:r w:rsidRPr="008F221B">
            <w:rPr>
              <w:rFonts w:ascii="Garamond" w:eastAsia="Garamond" w:hAnsi="Garamond" w:cs="Garamond"/>
              <w:color w:val="231F20"/>
              <w:sz w:val="15"/>
              <w:szCs w:val="15"/>
              <w:lang w:val="en-GB"/>
            </w:rPr>
            <w:t xml:space="preserve">, G., &amp; Anderson, R. (2022). Association between water, sanitation, and hygiene access and the prevalence of soil-transmitted helminth and schistosome infections in </w:t>
          </w:r>
          <w:proofErr w:type="spellStart"/>
          <w:r w:rsidRPr="008F221B">
            <w:rPr>
              <w:rFonts w:ascii="Garamond" w:eastAsia="Garamond" w:hAnsi="Garamond" w:cs="Garamond"/>
              <w:color w:val="231F20"/>
              <w:sz w:val="15"/>
              <w:szCs w:val="15"/>
              <w:lang w:val="en-GB"/>
            </w:rPr>
            <w:t>Wolayita</w:t>
          </w:r>
          <w:proofErr w:type="spellEnd"/>
          <w:r w:rsidRPr="008F221B">
            <w:rPr>
              <w:rFonts w:ascii="Garamond" w:eastAsia="Garamond" w:hAnsi="Garamond" w:cs="Garamond"/>
              <w:color w:val="231F20"/>
              <w:sz w:val="15"/>
              <w:szCs w:val="15"/>
              <w:lang w:val="en-GB"/>
            </w:rPr>
            <w:t>, Ethiopia. Parasites &amp; Vectors, 15(1), 410. https://doi.org/10.1186/s13071-022-05465-7</w:t>
          </w:r>
        </w:p>
        <w:p w14:paraId="2906A7B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Sangwalee</w:t>
          </w:r>
          <w:proofErr w:type="spellEnd"/>
          <w:r w:rsidRPr="008F221B">
            <w:rPr>
              <w:rFonts w:ascii="Garamond" w:eastAsia="Garamond" w:hAnsi="Garamond" w:cs="Garamond"/>
              <w:color w:val="231F20"/>
              <w:sz w:val="15"/>
              <w:szCs w:val="15"/>
              <w:lang w:val="en-GB"/>
            </w:rPr>
            <w:t xml:space="preserve">, W., </w:t>
          </w:r>
          <w:proofErr w:type="spellStart"/>
          <w:r w:rsidRPr="008F221B">
            <w:rPr>
              <w:rFonts w:ascii="Garamond" w:eastAsia="Garamond" w:hAnsi="Garamond" w:cs="Garamond"/>
              <w:color w:val="231F20"/>
              <w:sz w:val="15"/>
              <w:szCs w:val="15"/>
              <w:lang w:val="en-GB"/>
            </w:rPr>
            <w:t>Rattanapitoon</w:t>
          </w:r>
          <w:proofErr w:type="spellEnd"/>
          <w:r w:rsidRPr="008F221B">
            <w:rPr>
              <w:rFonts w:ascii="Garamond" w:eastAsia="Garamond" w:hAnsi="Garamond" w:cs="Garamond"/>
              <w:color w:val="231F20"/>
              <w:sz w:val="15"/>
              <w:szCs w:val="15"/>
              <w:lang w:val="en-GB"/>
            </w:rPr>
            <w:t xml:space="preserve">, N., &amp; </w:t>
          </w:r>
          <w:proofErr w:type="spellStart"/>
          <w:r w:rsidRPr="008F221B">
            <w:rPr>
              <w:rFonts w:ascii="Garamond" w:eastAsia="Garamond" w:hAnsi="Garamond" w:cs="Garamond"/>
              <w:color w:val="231F20"/>
              <w:sz w:val="15"/>
              <w:szCs w:val="15"/>
              <w:lang w:val="en-GB"/>
            </w:rPr>
            <w:t>Thanchomnang</w:t>
          </w:r>
          <w:proofErr w:type="spellEnd"/>
          <w:r w:rsidRPr="008F221B">
            <w:rPr>
              <w:rFonts w:ascii="Garamond" w:eastAsia="Garamond" w:hAnsi="Garamond" w:cs="Garamond"/>
              <w:color w:val="231F20"/>
              <w:sz w:val="15"/>
              <w:szCs w:val="15"/>
              <w:lang w:val="en-GB"/>
            </w:rPr>
            <w:t>, T. (2021). Intestinal parasitic infections and risk factors among Myanmar migrant workers in northeast Thailand. Asian Pacific Journal of Tropical Medicine, 14(1), 17. https://doi.org/10.4103/1995-7645.304297</w:t>
          </w:r>
        </w:p>
        <w:p w14:paraId="7F5C8D23"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Jia, T.-W., Melville, S., Utzinger, J., King, C. H., &amp; Zhou, X.-N. (2012). Soil-transmitted helminth reinfection after drug treatment: A systematic review and meta-analysis. </w:t>
          </w:r>
          <w:proofErr w:type="spellStart"/>
          <w:r w:rsidRPr="008F221B">
            <w:rPr>
              <w:rFonts w:ascii="Garamond" w:eastAsia="Garamond" w:hAnsi="Garamond" w:cs="Garamond"/>
              <w:color w:val="231F20"/>
              <w:sz w:val="15"/>
              <w:szCs w:val="15"/>
              <w:lang w:val="en-GB"/>
            </w:rPr>
            <w:t>PLoS</w:t>
          </w:r>
          <w:proofErr w:type="spellEnd"/>
          <w:r w:rsidRPr="008F221B">
            <w:rPr>
              <w:rFonts w:ascii="Garamond" w:eastAsia="Garamond" w:hAnsi="Garamond" w:cs="Garamond"/>
              <w:color w:val="231F20"/>
              <w:sz w:val="15"/>
              <w:szCs w:val="15"/>
              <w:lang w:val="en-GB"/>
            </w:rPr>
            <w:t xml:space="preserve"> Neglected Tropical Diseases, 6(5). https://doi.org/10.1371/journal.pntd.0001621</w:t>
          </w:r>
        </w:p>
        <w:p w14:paraId="1C9F755F"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Lustigman</w:t>
          </w:r>
          <w:proofErr w:type="spellEnd"/>
          <w:r w:rsidRPr="008F221B">
            <w:rPr>
              <w:rFonts w:ascii="Garamond" w:eastAsia="Garamond" w:hAnsi="Garamond" w:cs="Garamond"/>
              <w:color w:val="231F20"/>
              <w:sz w:val="15"/>
              <w:szCs w:val="15"/>
              <w:lang w:val="en-GB"/>
            </w:rPr>
            <w:t xml:space="preserve">, S., Prichard, R. K., </w:t>
          </w:r>
          <w:proofErr w:type="spellStart"/>
          <w:r w:rsidRPr="008F221B">
            <w:rPr>
              <w:rFonts w:ascii="Garamond" w:eastAsia="Garamond" w:hAnsi="Garamond" w:cs="Garamond"/>
              <w:color w:val="231F20"/>
              <w:sz w:val="15"/>
              <w:szCs w:val="15"/>
              <w:lang w:val="en-GB"/>
            </w:rPr>
            <w:t>Gazzinelli</w:t>
          </w:r>
          <w:proofErr w:type="spellEnd"/>
          <w:r w:rsidRPr="008F221B">
            <w:rPr>
              <w:rFonts w:ascii="Garamond" w:eastAsia="Garamond" w:hAnsi="Garamond" w:cs="Garamond"/>
              <w:color w:val="231F20"/>
              <w:sz w:val="15"/>
              <w:szCs w:val="15"/>
              <w:lang w:val="en-GB"/>
            </w:rPr>
            <w:t xml:space="preserve">, A., Grant, W. N., </w:t>
          </w:r>
          <w:proofErr w:type="spellStart"/>
          <w:r w:rsidRPr="008F221B">
            <w:rPr>
              <w:rFonts w:ascii="Garamond" w:eastAsia="Garamond" w:hAnsi="Garamond" w:cs="Garamond"/>
              <w:color w:val="231F20"/>
              <w:sz w:val="15"/>
              <w:szCs w:val="15"/>
              <w:lang w:val="en-GB"/>
            </w:rPr>
            <w:t>Boatin</w:t>
          </w:r>
          <w:proofErr w:type="spellEnd"/>
          <w:r w:rsidRPr="008F221B">
            <w:rPr>
              <w:rFonts w:ascii="Garamond" w:eastAsia="Garamond" w:hAnsi="Garamond" w:cs="Garamond"/>
              <w:color w:val="231F20"/>
              <w:sz w:val="15"/>
              <w:szCs w:val="15"/>
              <w:lang w:val="en-GB"/>
            </w:rPr>
            <w:t xml:space="preserve">, B. A., McCarthy, J. S., &amp; </w:t>
          </w:r>
          <w:proofErr w:type="spellStart"/>
          <w:r w:rsidRPr="008F221B">
            <w:rPr>
              <w:rFonts w:ascii="Garamond" w:eastAsia="Garamond" w:hAnsi="Garamond" w:cs="Garamond"/>
              <w:color w:val="231F20"/>
              <w:sz w:val="15"/>
              <w:szCs w:val="15"/>
              <w:lang w:val="en-GB"/>
            </w:rPr>
            <w:t>Basáñez</w:t>
          </w:r>
          <w:proofErr w:type="spellEnd"/>
          <w:r w:rsidRPr="008F221B">
            <w:rPr>
              <w:rFonts w:ascii="Garamond" w:eastAsia="Garamond" w:hAnsi="Garamond" w:cs="Garamond"/>
              <w:color w:val="231F20"/>
              <w:sz w:val="15"/>
              <w:szCs w:val="15"/>
              <w:lang w:val="en-GB"/>
            </w:rPr>
            <w:t>, M. G. (2012). A research agenda for helminth diseases of humans: the problem of helminthiases. PLOS Neglected Tropical Diseases, 6(4), e1582. https://doi.org/10.1371/journal.pntd.0001582</w:t>
          </w:r>
        </w:p>
        <w:p w14:paraId="2C668884"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Aguilar-Gaxiola, S., Ahmed, S. M., Anise, A., </w:t>
          </w:r>
          <w:proofErr w:type="spellStart"/>
          <w:r w:rsidRPr="008F221B">
            <w:rPr>
              <w:rFonts w:ascii="Garamond" w:eastAsia="Garamond" w:hAnsi="Garamond" w:cs="Garamond"/>
              <w:color w:val="231F20"/>
              <w:sz w:val="15"/>
              <w:szCs w:val="15"/>
              <w:lang w:val="en-GB"/>
            </w:rPr>
            <w:t>Azzahir</w:t>
          </w:r>
          <w:proofErr w:type="spellEnd"/>
          <w:r w:rsidRPr="008F221B">
            <w:rPr>
              <w:rFonts w:ascii="Garamond" w:eastAsia="Garamond" w:hAnsi="Garamond" w:cs="Garamond"/>
              <w:color w:val="231F20"/>
              <w:sz w:val="15"/>
              <w:szCs w:val="15"/>
              <w:lang w:val="en-GB"/>
            </w:rPr>
            <w:t xml:space="preserve">, A., Baker, K. E., </w:t>
          </w:r>
          <w:proofErr w:type="spellStart"/>
          <w:r w:rsidRPr="008F221B">
            <w:rPr>
              <w:rFonts w:ascii="Garamond" w:eastAsia="Garamond" w:hAnsi="Garamond" w:cs="Garamond"/>
              <w:color w:val="231F20"/>
              <w:sz w:val="15"/>
              <w:szCs w:val="15"/>
              <w:lang w:val="en-GB"/>
            </w:rPr>
            <w:t>Cupito</w:t>
          </w:r>
          <w:proofErr w:type="spellEnd"/>
          <w:r w:rsidRPr="008F221B">
            <w:rPr>
              <w:rFonts w:ascii="Garamond" w:eastAsia="Garamond" w:hAnsi="Garamond" w:cs="Garamond"/>
              <w:color w:val="231F20"/>
              <w:sz w:val="15"/>
              <w:szCs w:val="15"/>
              <w:lang w:val="en-GB"/>
            </w:rPr>
            <w:t xml:space="preserve">, A., Eder, M., Everette, T. D., Erwin, K., Felzien, M., Freeman, E., Gibbs, D., Greene-Moton, E., Hernández-Cancio, S., Hwang, A., Jones, F., Jones, G., Jones, M., </w:t>
          </w:r>
          <w:proofErr w:type="spellStart"/>
          <w:r w:rsidRPr="008F221B">
            <w:rPr>
              <w:rFonts w:ascii="Garamond" w:eastAsia="Garamond" w:hAnsi="Garamond" w:cs="Garamond"/>
              <w:color w:val="231F20"/>
              <w:sz w:val="15"/>
              <w:szCs w:val="15"/>
              <w:lang w:val="en-GB"/>
            </w:rPr>
            <w:t>Khodyakov</w:t>
          </w:r>
          <w:proofErr w:type="spellEnd"/>
          <w:r w:rsidRPr="008F221B">
            <w:rPr>
              <w:rFonts w:ascii="Garamond" w:eastAsia="Garamond" w:hAnsi="Garamond" w:cs="Garamond"/>
              <w:color w:val="231F20"/>
              <w:sz w:val="15"/>
              <w:szCs w:val="15"/>
              <w:lang w:val="en-GB"/>
            </w:rPr>
            <w:t>, D., … Zaldivar, R. (2022). Assessing Meaningful Community Engagement: A Conceptual Model to Advance Health Equity through Transformed Systems for Health. NAM Perspectives, 2022, 10.31478/202202c. https://doi.org/10.31478/202202c</w:t>
          </w:r>
        </w:p>
        <w:p w14:paraId="749002F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Carman, K. L., &amp; Workman, T. A. (2017). Engaging patients and consumers in research evidence: Applying the conceptual model of patient and family engagement. Patient education and </w:t>
          </w:r>
          <w:proofErr w:type="spellStart"/>
          <w:r w:rsidRPr="008F221B">
            <w:rPr>
              <w:rFonts w:ascii="Garamond" w:eastAsia="Garamond" w:hAnsi="Garamond" w:cs="Garamond"/>
              <w:color w:val="231F20"/>
              <w:sz w:val="15"/>
              <w:szCs w:val="15"/>
              <w:lang w:val="en-GB"/>
            </w:rPr>
            <w:t>counseling</w:t>
          </w:r>
          <w:proofErr w:type="spellEnd"/>
          <w:r w:rsidRPr="008F221B">
            <w:rPr>
              <w:rFonts w:ascii="Garamond" w:eastAsia="Garamond" w:hAnsi="Garamond" w:cs="Garamond"/>
              <w:color w:val="231F20"/>
              <w:sz w:val="15"/>
              <w:szCs w:val="15"/>
              <w:lang w:val="en-GB"/>
            </w:rPr>
            <w:t>, 100(1), 25–29. https://doi.org/10.1016/j.pec.2016.07.009</w:t>
          </w:r>
        </w:p>
        <w:p w14:paraId="53CEEE30"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Jackson, T., 2020. 2020-10-1 Doc from the Richmond Workshop </w:t>
          </w:r>
          <w:proofErr w:type="gramStart"/>
          <w:r w:rsidRPr="008F221B">
            <w:rPr>
              <w:rFonts w:ascii="Garamond" w:eastAsia="Garamond" w:hAnsi="Garamond" w:cs="Garamond"/>
              <w:color w:val="231F20"/>
              <w:sz w:val="15"/>
              <w:szCs w:val="15"/>
              <w:lang w:val="en-GB"/>
            </w:rPr>
            <w:t>The</w:t>
          </w:r>
          <w:proofErr w:type="gramEnd"/>
          <w:r w:rsidRPr="008F221B">
            <w:rPr>
              <w:rFonts w:ascii="Garamond" w:eastAsia="Garamond" w:hAnsi="Garamond" w:cs="Garamond"/>
              <w:color w:val="231F20"/>
              <w:sz w:val="15"/>
              <w:szCs w:val="15"/>
              <w:lang w:val="en-GB"/>
            </w:rPr>
            <w:t xml:space="preserve"> Spectrum of Community Engagement to Ownership (3%, City of Richmond, California. United States of America. https://policycommons.net/artifacts/4702088/2020-10-1-doc-from-the-richmond-workshop-the-spectrum-of-community-engagement-to-ownership-3/5528198/</w:t>
          </w:r>
        </w:p>
        <w:p w14:paraId="4494784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World Health Organization. (2020). Community engagement: a health promotion guide for universal health coverage in the hands of the people. Geneva. License: CC BY-NC-SA 3.0 IGO</w:t>
          </w:r>
        </w:p>
        <w:p w14:paraId="0ED761FD"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Jahan, R. A. (2000). Promoting health literacy: a case study in the prevention of diarrhoeal disease from Bangladesh. Health Promotion International, 15(4), 285–291. https://doi.org/10.1093/heapro/15.4.285</w:t>
          </w:r>
        </w:p>
        <w:p w14:paraId="77D6D5BD"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Sangare, M., Diabate, A. F., Coulibaly, Y. I., </w:t>
          </w:r>
          <w:proofErr w:type="spellStart"/>
          <w:r w:rsidRPr="008F221B">
            <w:rPr>
              <w:rFonts w:ascii="Garamond" w:eastAsia="Garamond" w:hAnsi="Garamond" w:cs="Garamond"/>
              <w:color w:val="231F20"/>
              <w:sz w:val="15"/>
              <w:szCs w:val="15"/>
              <w:lang w:val="en-GB"/>
            </w:rPr>
            <w:t>Tanapo</w:t>
          </w:r>
          <w:proofErr w:type="spellEnd"/>
          <w:r w:rsidRPr="008F221B">
            <w:rPr>
              <w:rFonts w:ascii="Garamond" w:eastAsia="Garamond" w:hAnsi="Garamond" w:cs="Garamond"/>
              <w:color w:val="231F20"/>
              <w:sz w:val="15"/>
              <w:szCs w:val="15"/>
              <w:lang w:val="en-GB"/>
            </w:rPr>
            <w:t xml:space="preserve">, D., Thera, S. O., Dolo, H., Dicko, I., Coulibaly, O., Sall, B., Traore, F., Doumbia, S., Kulkarni, M. A., </w:t>
          </w:r>
          <w:proofErr w:type="spellStart"/>
          <w:r w:rsidRPr="008F221B">
            <w:rPr>
              <w:rFonts w:ascii="Garamond" w:eastAsia="Garamond" w:hAnsi="Garamond" w:cs="Garamond"/>
              <w:color w:val="231F20"/>
              <w:sz w:val="15"/>
              <w:szCs w:val="15"/>
              <w:lang w:val="en-GB"/>
            </w:rPr>
            <w:t>Nutman</w:t>
          </w:r>
          <w:proofErr w:type="spellEnd"/>
          <w:r w:rsidRPr="008F221B">
            <w:rPr>
              <w:rFonts w:ascii="Garamond" w:eastAsia="Garamond" w:hAnsi="Garamond" w:cs="Garamond"/>
              <w:color w:val="231F20"/>
              <w:sz w:val="15"/>
              <w:szCs w:val="15"/>
              <w:lang w:val="en-GB"/>
            </w:rPr>
            <w:t xml:space="preserve">, T. B., &amp; </w:t>
          </w:r>
          <w:proofErr w:type="spellStart"/>
          <w:r w:rsidRPr="008F221B">
            <w:rPr>
              <w:rFonts w:ascii="Garamond" w:eastAsia="Garamond" w:hAnsi="Garamond" w:cs="Garamond"/>
              <w:color w:val="231F20"/>
              <w:sz w:val="15"/>
              <w:szCs w:val="15"/>
              <w:lang w:val="en-GB"/>
            </w:rPr>
            <w:t>Krentel</w:t>
          </w:r>
          <w:proofErr w:type="spellEnd"/>
          <w:r w:rsidRPr="008F221B">
            <w:rPr>
              <w:rFonts w:ascii="Garamond" w:eastAsia="Garamond" w:hAnsi="Garamond" w:cs="Garamond"/>
              <w:color w:val="231F20"/>
              <w:sz w:val="15"/>
              <w:szCs w:val="15"/>
              <w:lang w:val="en-GB"/>
            </w:rPr>
            <w:t xml:space="preserve">, A. (2024). Understanding the barriers and facilitators related to never treatment during mass drug administration among mobile and migrant populations in Mali: a qualitative exploratory study. BMJ global health, 9(10), e015671. https://doi.org/10.1136/bmjgh-2024-015671 </w:t>
          </w:r>
        </w:p>
        <w:p w14:paraId="07D2A1A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Adams, A. M., Vuckovic, M., Birch, E., Brant, T. A., Bialek, S., Yoon, D., Koroma, J., </w:t>
          </w:r>
          <w:proofErr w:type="spellStart"/>
          <w:r w:rsidRPr="008F221B">
            <w:rPr>
              <w:rFonts w:ascii="Garamond" w:eastAsia="Garamond" w:hAnsi="Garamond" w:cs="Garamond"/>
              <w:color w:val="231F20"/>
              <w:sz w:val="15"/>
              <w:szCs w:val="15"/>
              <w:lang w:val="en-GB"/>
            </w:rPr>
            <w:t>Direny</w:t>
          </w:r>
          <w:proofErr w:type="spellEnd"/>
          <w:r w:rsidRPr="008F221B">
            <w:rPr>
              <w:rFonts w:ascii="Garamond" w:eastAsia="Garamond" w:hAnsi="Garamond" w:cs="Garamond"/>
              <w:color w:val="231F20"/>
              <w:sz w:val="15"/>
              <w:szCs w:val="15"/>
              <w:lang w:val="en-GB"/>
            </w:rPr>
            <w:t xml:space="preserve">, A., Shott, J., Lemoine, J. F., Dembele, M., </w:t>
          </w:r>
          <w:r w:rsidRPr="008F221B">
            <w:rPr>
              <w:rFonts w:ascii="Garamond" w:eastAsia="Garamond" w:hAnsi="Garamond" w:cs="Garamond"/>
              <w:color w:val="231F20"/>
              <w:sz w:val="15"/>
              <w:szCs w:val="15"/>
              <w:lang w:val="en-GB"/>
            </w:rPr>
            <w:lastRenderedPageBreak/>
            <w:t>&amp; Baker, M. C. (2018). Eliminating Neglected Tropical Diseases in Urban Areas: A Review of Challenges, Strategies and Research Directions for Successful Mass Drug Administration. Tropical Medicine and Infectious Disease, 3(4), Article 4. https://doi.org/10.3390/tropicalmed3040122</w:t>
          </w:r>
        </w:p>
        <w:p w14:paraId="36907662"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Lorenzo, P. J., Manzanilla, D. R., Cortel, D. K., &amp; </w:t>
          </w:r>
          <w:proofErr w:type="spellStart"/>
          <w:r w:rsidRPr="008F221B">
            <w:rPr>
              <w:rFonts w:ascii="Garamond" w:eastAsia="Garamond" w:hAnsi="Garamond" w:cs="Garamond"/>
              <w:color w:val="231F20"/>
              <w:sz w:val="15"/>
              <w:szCs w:val="15"/>
              <w:lang w:val="en-GB"/>
            </w:rPr>
            <w:t>Tangog</w:t>
          </w:r>
          <w:proofErr w:type="spellEnd"/>
          <w:r w:rsidRPr="008F221B">
            <w:rPr>
              <w:rFonts w:ascii="Garamond" w:eastAsia="Garamond" w:hAnsi="Garamond" w:cs="Garamond"/>
              <w:color w:val="231F20"/>
              <w:sz w:val="15"/>
              <w:szCs w:val="15"/>
              <w:lang w:val="en-GB"/>
            </w:rPr>
            <w:t>, E. (2019). Community perceptions of mass drug administration for soil-transmitted helminthiasis and schistosomiasis in selected schools in the Philippines. Infectious Diseases of Poverty, 8(1), 87–87. https://doi.org/10.1186/s40249-019-0595-</w:t>
          </w:r>
        </w:p>
        <w:p w14:paraId="5F1A6AF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Mitchell, E., Kelly-</w:t>
          </w:r>
          <w:proofErr w:type="spellStart"/>
          <w:r w:rsidRPr="008F221B">
            <w:rPr>
              <w:rFonts w:ascii="Garamond" w:eastAsia="Garamond" w:hAnsi="Garamond" w:cs="Garamond"/>
              <w:color w:val="231F20"/>
              <w:sz w:val="15"/>
              <w:szCs w:val="15"/>
              <w:lang w:val="en-GB"/>
            </w:rPr>
            <w:t>Hanku</w:t>
          </w:r>
          <w:proofErr w:type="spellEnd"/>
          <w:r w:rsidRPr="008F221B">
            <w:rPr>
              <w:rFonts w:ascii="Garamond" w:eastAsia="Garamond" w:hAnsi="Garamond" w:cs="Garamond"/>
              <w:color w:val="231F20"/>
              <w:sz w:val="15"/>
              <w:szCs w:val="15"/>
              <w:lang w:val="en-GB"/>
            </w:rPr>
            <w:t xml:space="preserve">, A., </w:t>
          </w:r>
          <w:proofErr w:type="spellStart"/>
          <w:r w:rsidRPr="008F221B">
            <w:rPr>
              <w:rFonts w:ascii="Garamond" w:eastAsia="Garamond" w:hAnsi="Garamond" w:cs="Garamond"/>
              <w:color w:val="231F20"/>
              <w:sz w:val="15"/>
              <w:szCs w:val="15"/>
              <w:lang w:val="en-GB"/>
            </w:rPr>
            <w:t>Krentel</w:t>
          </w:r>
          <w:proofErr w:type="spellEnd"/>
          <w:r w:rsidRPr="008F221B">
            <w:rPr>
              <w:rFonts w:ascii="Garamond" w:eastAsia="Garamond" w:hAnsi="Garamond" w:cs="Garamond"/>
              <w:color w:val="231F20"/>
              <w:sz w:val="15"/>
              <w:szCs w:val="15"/>
              <w:lang w:val="en-GB"/>
            </w:rPr>
            <w:t>, A., Romani, L., Robinson, L. J., Nery, S. V., Kaldor, J., Steer, A. C., &amp; Bell, S. (2022). Community perceptions and acceptability of mass drug administration for the control of neglected tropical diseases in Asia-Pacific countries: A systematic scoping review of qualitative research. PLOS Neglected Tropical Diseases, 16(3), e0010215. https://doi.org/10.1371/journal.pntd.0010215</w:t>
          </w:r>
        </w:p>
        <w:p w14:paraId="138645A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Akinsolu</w:t>
          </w:r>
          <w:proofErr w:type="spellEnd"/>
          <w:r w:rsidRPr="008F221B">
            <w:rPr>
              <w:rFonts w:ascii="Garamond" w:eastAsia="Garamond" w:hAnsi="Garamond" w:cs="Garamond"/>
              <w:color w:val="231F20"/>
              <w:sz w:val="15"/>
              <w:szCs w:val="15"/>
              <w:lang w:val="en-GB"/>
            </w:rPr>
            <w:t xml:space="preserve">, F. T., Abodunrin, O. R., Olagunju, M. T., Adewole, I. E., Rahman, N. O., </w:t>
          </w:r>
          <w:proofErr w:type="spellStart"/>
          <w:r w:rsidRPr="008F221B">
            <w:rPr>
              <w:rFonts w:ascii="Garamond" w:eastAsia="Garamond" w:hAnsi="Garamond" w:cs="Garamond"/>
              <w:color w:val="231F20"/>
              <w:sz w:val="15"/>
              <w:szCs w:val="15"/>
              <w:lang w:val="en-GB"/>
            </w:rPr>
            <w:t>Dabar</w:t>
          </w:r>
          <w:proofErr w:type="spellEnd"/>
          <w:r w:rsidRPr="008F221B">
            <w:rPr>
              <w:rFonts w:ascii="Garamond" w:eastAsia="Garamond" w:hAnsi="Garamond" w:cs="Garamond"/>
              <w:color w:val="231F20"/>
              <w:sz w:val="15"/>
              <w:szCs w:val="15"/>
              <w:lang w:val="en-GB"/>
            </w:rPr>
            <w:t xml:space="preserve">, A. M., Njuguna, D. W., </w:t>
          </w:r>
          <w:proofErr w:type="spellStart"/>
          <w:r w:rsidRPr="008F221B">
            <w:rPr>
              <w:rFonts w:ascii="Garamond" w:eastAsia="Garamond" w:hAnsi="Garamond" w:cs="Garamond"/>
              <w:color w:val="231F20"/>
              <w:sz w:val="15"/>
              <w:szCs w:val="15"/>
              <w:lang w:val="en-GB"/>
            </w:rPr>
            <w:t>Soneye</w:t>
          </w:r>
          <w:proofErr w:type="spellEnd"/>
          <w:r w:rsidRPr="008F221B">
            <w:rPr>
              <w:rFonts w:ascii="Garamond" w:eastAsia="Garamond" w:hAnsi="Garamond" w:cs="Garamond"/>
              <w:color w:val="231F20"/>
              <w:sz w:val="15"/>
              <w:szCs w:val="15"/>
              <w:lang w:val="en-GB"/>
            </w:rPr>
            <w:t xml:space="preserve">, I. Y., Salako, A. O., </w:t>
          </w:r>
          <w:proofErr w:type="spellStart"/>
          <w:r w:rsidRPr="008F221B">
            <w:rPr>
              <w:rFonts w:ascii="Garamond" w:eastAsia="Garamond" w:hAnsi="Garamond" w:cs="Garamond"/>
              <w:color w:val="231F20"/>
              <w:sz w:val="15"/>
              <w:szCs w:val="15"/>
              <w:lang w:val="en-GB"/>
            </w:rPr>
            <w:t>Ezechi</w:t>
          </w:r>
          <w:proofErr w:type="spellEnd"/>
          <w:r w:rsidRPr="008F221B">
            <w:rPr>
              <w:rFonts w:ascii="Garamond" w:eastAsia="Garamond" w:hAnsi="Garamond" w:cs="Garamond"/>
              <w:color w:val="231F20"/>
              <w:sz w:val="15"/>
              <w:szCs w:val="15"/>
              <w:lang w:val="en-GB"/>
            </w:rPr>
            <w:t>, O. C., Varga, O. E., &amp; Akinwale, O. P. (2023). Community perception of school-based Mass Drug Administration program for soil-transmitted helminths and schistosomiasis in Ogun State, Nigeria. PLOS Neglected Tropical Diseases, 17(7). https://doi.org/10.1371/journal.pntd.0011213</w:t>
          </w:r>
        </w:p>
        <w:p w14:paraId="212AA276"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Hardon, A. P. (1992). That Drug is </w:t>
          </w:r>
          <w:proofErr w:type="spellStart"/>
          <w:r w:rsidRPr="008F221B">
            <w:rPr>
              <w:rFonts w:ascii="Garamond" w:eastAsia="Garamond" w:hAnsi="Garamond" w:cs="Garamond"/>
              <w:color w:val="231F20"/>
              <w:sz w:val="15"/>
              <w:szCs w:val="15"/>
              <w:lang w:val="en-GB"/>
            </w:rPr>
            <w:t>Hiyang</w:t>
          </w:r>
          <w:proofErr w:type="spellEnd"/>
          <w:r w:rsidRPr="008F221B">
            <w:rPr>
              <w:rFonts w:ascii="Garamond" w:eastAsia="Garamond" w:hAnsi="Garamond" w:cs="Garamond"/>
              <w:color w:val="231F20"/>
              <w:sz w:val="15"/>
              <w:szCs w:val="15"/>
              <w:lang w:val="en-GB"/>
            </w:rPr>
            <w:t xml:space="preserve"> for Me: Lay Perceptions of the Efficacy of Drugs in Manila, Philippines. Central Issues in Anthropology, 10(1), 86–93. https://doi.org/10.1525/cia.1992.10.1.86</w:t>
          </w:r>
        </w:p>
        <w:p w14:paraId="7BA74255"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Murphy, E., </w:t>
          </w:r>
          <w:proofErr w:type="spellStart"/>
          <w:r w:rsidRPr="008F221B">
            <w:rPr>
              <w:rFonts w:ascii="Garamond" w:eastAsia="Garamond" w:hAnsi="Garamond" w:cs="Garamond"/>
              <w:color w:val="231F20"/>
              <w:sz w:val="15"/>
              <w:szCs w:val="15"/>
              <w:lang w:val="en-GB"/>
            </w:rPr>
            <w:t>Togbevi</w:t>
          </w:r>
          <w:proofErr w:type="spellEnd"/>
          <w:r w:rsidRPr="008F221B">
            <w:rPr>
              <w:rFonts w:ascii="Garamond" w:eastAsia="Garamond" w:hAnsi="Garamond" w:cs="Garamond"/>
              <w:color w:val="231F20"/>
              <w:sz w:val="15"/>
              <w:szCs w:val="15"/>
              <w:lang w:val="en-GB"/>
            </w:rPr>
            <w:t xml:space="preserve">, I. C., </w:t>
          </w:r>
          <w:proofErr w:type="spellStart"/>
          <w:r w:rsidRPr="008F221B">
            <w:rPr>
              <w:rFonts w:ascii="Garamond" w:eastAsia="Garamond" w:hAnsi="Garamond" w:cs="Garamond"/>
              <w:color w:val="231F20"/>
              <w:sz w:val="15"/>
              <w:szCs w:val="15"/>
              <w:lang w:val="en-GB"/>
            </w:rPr>
            <w:t>Ibikounlé</w:t>
          </w:r>
          <w:proofErr w:type="spellEnd"/>
          <w:r w:rsidRPr="008F221B">
            <w:rPr>
              <w:rFonts w:ascii="Garamond" w:eastAsia="Garamond" w:hAnsi="Garamond" w:cs="Garamond"/>
              <w:color w:val="231F20"/>
              <w:sz w:val="15"/>
              <w:szCs w:val="15"/>
              <w:lang w:val="en-GB"/>
            </w:rPr>
            <w:t xml:space="preserve">, M., </w:t>
          </w:r>
          <w:proofErr w:type="spellStart"/>
          <w:r w:rsidRPr="008F221B">
            <w:rPr>
              <w:rFonts w:ascii="Garamond" w:eastAsia="Garamond" w:hAnsi="Garamond" w:cs="Garamond"/>
              <w:color w:val="231F20"/>
              <w:sz w:val="15"/>
              <w:szCs w:val="15"/>
              <w:lang w:val="en-GB"/>
            </w:rPr>
            <w:t>Avokpaho</w:t>
          </w:r>
          <w:proofErr w:type="spellEnd"/>
          <w:r w:rsidRPr="008F221B">
            <w:rPr>
              <w:rFonts w:ascii="Garamond" w:eastAsia="Garamond" w:hAnsi="Garamond" w:cs="Garamond"/>
              <w:color w:val="231F20"/>
              <w:sz w:val="15"/>
              <w:szCs w:val="15"/>
              <w:lang w:val="en-GB"/>
            </w:rPr>
            <w:t>, E. F., Walson, J. L., &amp; Means, A. R. (2023). Soil-transmitted helminth surveillance in Benin: A mixed-methods analysis of factors influencing non-participation in longitudinal surveillance activities. PLOS Neglected Tropical Diseases, 17(1). https://doi.org/10.1371/journal.pntd.0010984</w:t>
          </w:r>
        </w:p>
        <w:p w14:paraId="5AA8C34B"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World Health Organization EMRO. (2023). Public health surveillance. World Health Organization - Regional Office for the Eastern Mediterranean. http://www.emro.who.int/health-topics/public-health-surveillance/index.html</w:t>
          </w:r>
        </w:p>
        <w:p w14:paraId="1758FD3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Albonico</w:t>
          </w:r>
          <w:proofErr w:type="spellEnd"/>
          <w:r w:rsidRPr="008F221B">
            <w:rPr>
              <w:rFonts w:ascii="Garamond" w:eastAsia="Garamond" w:hAnsi="Garamond" w:cs="Garamond"/>
              <w:color w:val="231F20"/>
              <w:sz w:val="15"/>
              <w:szCs w:val="15"/>
              <w:lang w:val="en-GB"/>
            </w:rPr>
            <w:t xml:space="preserve">, M., Montresor, A., Crompton, D. W., &amp; </w:t>
          </w:r>
          <w:proofErr w:type="spellStart"/>
          <w:r w:rsidRPr="008F221B">
            <w:rPr>
              <w:rFonts w:ascii="Garamond" w:eastAsia="Garamond" w:hAnsi="Garamond" w:cs="Garamond"/>
              <w:color w:val="231F20"/>
              <w:sz w:val="15"/>
              <w:szCs w:val="15"/>
              <w:lang w:val="en-GB"/>
            </w:rPr>
            <w:t>Savioli</w:t>
          </w:r>
          <w:proofErr w:type="spellEnd"/>
          <w:r w:rsidRPr="008F221B">
            <w:rPr>
              <w:rFonts w:ascii="Garamond" w:eastAsia="Garamond" w:hAnsi="Garamond" w:cs="Garamond"/>
              <w:color w:val="231F20"/>
              <w:sz w:val="15"/>
              <w:szCs w:val="15"/>
              <w:lang w:val="en-GB"/>
            </w:rPr>
            <w:t>, L. (2006). Intervention for the control of soil-transmitted helminthiasis in the community. Advances in Parasitology, 61, 311–348. https://doi.org/10.1016/S0065-308X(05)61008-1</w:t>
          </w:r>
        </w:p>
        <w:p w14:paraId="4BF7398A"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Silver, Z. A., Kaliappan, S. P., Samuel, P., Venugopal, S., Kang, G., Sarkar, R., &amp; </w:t>
          </w:r>
          <w:proofErr w:type="spellStart"/>
          <w:r w:rsidRPr="008F221B">
            <w:rPr>
              <w:rFonts w:ascii="Garamond" w:eastAsia="Garamond" w:hAnsi="Garamond" w:cs="Garamond"/>
              <w:color w:val="231F20"/>
              <w:sz w:val="15"/>
              <w:szCs w:val="15"/>
              <w:lang w:val="en-GB"/>
            </w:rPr>
            <w:t>Ajjampur</w:t>
          </w:r>
          <w:proofErr w:type="spellEnd"/>
          <w:r w:rsidRPr="008F221B">
            <w:rPr>
              <w:rFonts w:ascii="Garamond" w:eastAsia="Garamond" w:hAnsi="Garamond" w:cs="Garamond"/>
              <w:color w:val="231F20"/>
              <w:sz w:val="15"/>
              <w:szCs w:val="15"/>
              <w:lang w:val="en-GB"/>
            </w:rPr>
            <w:t xml:space="preserve">, S. S. R. (2018). Geographical distribution of soil transmitted helminths and the effects of community type in South Asia and South East Asia - A systematic review. </w:t>
          </w:r>
          <w:proofErr w:type="spellStart"/>
          <w:r w:rsidRPr="008F221B">
            <w:rPr>
              <w:rFonts w:ascii="Garamond" w:eastAsia="Garamond" w:hAnsi="Garamond" w:cs="Garamond"/>
              <w:color w:val="231F20"/>
              <w:sz w:val="15"/>
              <w:szCs w:val="15"/>
              <w:lang w:val="en-GB"/>
            </w:rPr>
            <w:t>PLoS</w:t>
          </w:r>
          <w:proofErr w:type="spellEnd"/>
          <w:r w:rsidRPr="008F221B">
            <w:rPr>
              <w:rFonts w:ascii="Garamond" w:eastAsia="Garamond" w:hAnsi="Garamond" w:cs="Garamond"/>
              <w:color w:val="231F20"/>
              <w:sz w:val="15"/>
              <w:szCs w:val="15"/>
              <w:lang w:val="en-GB"/>
            </w:rPr>
            <w:t xml:space="preserve"> neglected tropical diseases, 12(1), e0006153. https://doi.org/10.1371/journal.pntd.0006153</w:t>
          </w:r>
        </w:p>
        <w:p w14:paraId="6667480F"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Alazas</w:t>
          </w:r>
          <w:proofErr w:type="spellEnd"/>
          <w:r w:rsidRPr="008F221B">
            <w:rPr>
              <w:rFonts w:ascii="Garamond" w:eastAsia="Garamond" w:hAnsi="Garamond" w:cs="Garamond"/>
              <w:color w:val="231F20"/>
              <w:sz w:val="15"/>
              <w:szCs w:val="15"/>
              <w:lang w:val="en-GB"/>
            </w:rPr>
            <w:t xml:space="preserve">, M. (2023, April 14). Safe Spaces Empower Rohingya Children in South-East Asia—Indonesia | </w:t>
          </w:r>
          <w:proofErr w:type="spellStart"/>
          <w:r w:rsidRPr="008F221B">
            <w:rPr>
              <w:rFonts w:ascii="Garamond" w:eastAsia="Garamond" w:hAnsi="Garamond" w:cs="Garamond"/>
              <w:color w:val="231F20"/>
              <w:sz w:val="15"/>
              <w:szCs w:val="15"/>
              <w:lang w:val="en-GB"/>
            </w:rPr>
            <w:t>ReliefWeb</w:t>
          </w:r>
          <w:proofErr w:type="spellEnd"/>
          <w:r w:rsidRPr="008F221B">
            <w:rPr>
              <w:rFonts w:ascii="Garamond" w:eastAsia="Garamond" w:hAnsi="Garamond" w:cs="Garamond"/>
              <w:color w:val="231F20"/>
              <w:sz w:val="15"/>
              <w:szCs w:val="15"/>
              <w:lang w:val="en-GB"/>
            </w:rPr>
            <w:t xml:space="preserve">. </w:t>
          </w:r>
          <w:proofErr w:type="spellStart"/>
          <w:r w:rsidRPr="008F221B">
            <w:rPr>
              <w:rFonts w:ascii="Garamond" w:eastAsia="Garamond" w:hAnsi="Garamond" w:cs="Garamond"/>
              <w:color w:val="231F20"/>
              <w:sz w:val="15"/>
              <w:szCs w:val="15"/>
              <w:lang w:val="en-GB"/>
            </w:rPr>
            <w:t>Reliefweb</w:t>
          </w:r>
          <w:proofErr w:type="spellEnd"/>
          <w:r w:rsidRPr="008F221B">
            <w:rPr>
              <w:rFonts w:ascii="Garamond" w:eastAsia="Garamond" w:hAnsi="Garamond" w:cs="Garamond"/>
              <w:color w:val="231F20"/>
              <w:sz w:val="15"/>
              <w:szCs w:val="15"/>
              <w:lang w:val="en-GB"/>
            </w:rPr>
            <w:t>. https://reliefweb.int/report/indonesia/safe-spaces-empower-rohingya-children-south-east-asia</w:t>
          </w:r>
        </w:p>
        <w:p w14:paraId="23445AFE"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Hossain A. N. M. Z. (2023). Educational crisis of Rohingya refugee children in Bangladesh: Access, obstacles, and prospects to formal and non-formal education. </w:t>
          </w:r>
          <w:proofErr w:type="spellStart"/>
          <w:r w:rsidRPr="008F221B">
            <w:rPr>
              <w:rFonts w:ascii="Garamond" w:eastAsia="Garamond" w:hAnsi="Garamond" w:cs="Garamond"/>
              <w:color w:val="231F20"/>
              <w:sz w:val="15"/>
              <w:szCs w:val="15"/>
              <w:lang w:val="en-GB"/>
            </w:rPr>
            <w:t>Heliyon</w:t>
          </w:r>
          <w:proofErr w:type="spellEnd"/>
          <w:r w:rsidRPr="008F221B">
            <w:rPr>
              <w:rFonts w:ascii="Garamond" w:eastAsia="Garamond" w:hAnsi="Garamond" w:cs="Garamond"/>
              <w:color w:val="231F20"/>
              <w:sz w:val="15"/>
              <w:szCs w:val="15"/>
              <w:lang w:val="en-GB"/>
            </w:rPr>
            <w:t>, 9(7), e18346. https://doi.org/10.1016/j.heliyon.2023.e18346</w:t>
          </w:r>
        </w:p>
        <w:p w14:paraId="10637933"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UNICEF. (2022). Education milestone for Rohingya refugee children as Myanmar curriculum pilot reaches first 10,000 children| UNICEF. https://www.unicef.org/press-releases/unicef-education-milestone-rohingya-refugee-children-myanmar-curriculum-pilot</w:t>
          </w:r>
        </w:p>
        <w:p w14:paraId="532D527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 xml:space="preserve">Nath, T. C., Adnan, M. R., Sultana, N., Husna, A., </w:t>
          </w:r>
          <w:proofErr w:type="spellStart"/>
          <w:r w:rsidRPr="008F221B">
            <w:rPr>
              <w:rFonts w:ascii="Garamond" w:eastAsia="Garamond" w:hAnsi="Garamond" w:cs="Garamond"/>
              <w:color w:val="231F20"/>
              <w:sz w:val="15"/>
              <w:szCs w:val="15"/>
              <w:lang w:val="en-GB"/>
            </w:rPr>
            <w:t>Ndossi</w:t>
          </w:r>
          <w:proofErr w:type="spellEnd"/>
          <w:r w:rsidRPr="008F221B">
            <w:rPr>
              <w:rFonts w:ascii="Garamond" w:eastAsia="Garamond" w:hAnsi="Garamond" w:cs="Garamond"/>
              <w:color w:val="231F20"/>
              <w:sz w:val="15"/>
              <w:szCs w:val="15"/>
              <w:lang w:val="en-GB"/>
            </w:rPr>
            <w:t xml:space="preserve">, B. A., Kang, Y., Bia, M. M., Choe, S., Park, H., Lee, D., </w:t>
          </w:r>
          <w:proofErr w:type="spellStart"/>
          <w:r w:rsidRPr="008F221B">
            <w:rPr>
              <w:rFonts w:ascii="Garamond" w:eastAsia="Garamond" w:hAnsi="Garamond" w:cs="Garamond"/>
              <w:color w:val="231F20"/>
              <w:sz w:val="15"/>
              <w:szCs w:val="15"/>
              <w:lang w:val="en-GB"/>
            </w:rPr>
            <w:t>Eamudomkarn</w:t>
          </w:r>
          <w:proofErr w:type="spellEnd"/>
          <w:r w:rsidRPr="008F221B">
            <w:rPr>
              <w:rFonts w:ascii="Garamond" w:eastAsia="Garamond" w:hAnsi="Garamond" w:cs="Garamond"/>
              <w:color w:val="231F20"/>
              <w:sz w:val="15"/>
              <w:szCs w:val="15"/>
              <w:lang w:val="en-GB"/>
            </w:rPr>
            <w:t xml:space="preserve">, C., Jeon, H. K., &amp; Eom, K. S. (2020). Integration of health education intervention to improve the compliance to mass drug administration for soil-transmitted helminths infection in Bangladesh: </w:t>
          </w:r>
          <w:proofErr w:type="gramStart"/>
          <w:r w:rsidRPr="008F221B">
            <w:rPr>
              <w:rFonts w:ascii="Garamond" w:eastAsia="Garamond" w:hAnsi="Garamond" w:cs="Garamond"/>
              <w:color w:val="231F20"/>
              <w:sz w:val="15"/>
              <w:szCs w:val="15"/>
              <w:lang w:val="en-GB"/>
            </w:rPr>
            <w:t>An implementation research</w:t>
          </w:r>
          <w:proofErr w:type="gramEnd"/>
          <w:r w:rsidRPr="008F221B">
            <w:rPr>
              <w:rFonts w:ascii="Garamond" w:eastAsia="Garamond" w:hAnsi="Garamond" w:cs="Garamond"/>
              <w:color w:val="231F20"/>
              <w:sz w:val="15"/>
              <w:szCs w:val="15"/>
              <w:lang w:val="en-GB"/>
            </w:rPr>
            <w:t>. Parasite epidemiology and control, 11, e00165. https://doi.org/10.1016/j.parepi.2020.e00165</w:t>
          </w:r>
        </w:p>
        <w:p w14:paraId="0CC1C799" w14:textId="77777777" w:rsidR="008F221B" w:rsidRPr="008F221B" w:rsidRDefault="008F221B" w:rsidP="008F221B">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r w:rsidRPr="008F221B">
            <w:rPr>
              <w:rFonts w:ascii="Garamond" w:eastAsia="Garamond" w:hAnsi="Garamond" w:cs="Garamond"/>
              <w:color w:val="231F20"/>
              <w:sz w:val="15"/>
              <w:szCs w:val="15"/>
              <w:lang w:val="en-GB"/>
            </w:rPr>
            <w:t>Clarke, N. E., Clements, A. C. A., Amaral, S., Richardson, A., McCarthy, J. S., McGown, J., Bryan, S., Gray, D. J., &amp; Nery, S. V. (2018). (S)WASH-D for Worms: A pilot study investigating the differential impact of school- versus community-based integrated control programs for soil-transmitted helminths. PLOS Neglected Tropical Diseases, 12(5), e0006389. https://doi.org/10.1371/journal.pntd.0006389</w:t>
          </w:r>
        </w:p>
        <w:p w14:paraId="50027D69" w14:textId="1A87C6D5" w:rsidR="005D72B9" w:rsidRDefault="008F221B" w:rsidP="00C973E9">
          <w:pPr>
            <w:pStyle w:val="ListParagraph"/>
            <w:widowControl w:val="0"/>
            <w:numPr>
              <w:ilvl w:val="0"/>
              <w:numId w:val="6"/>
            </w:numPr>
            <w:pBdr>
              <w:top w:val="nil"/>
              <w:left w:val="nil"/>
              <w:bottom w:val="nil"/>
              <w:right w:val="nil"/>
              <w:between w:val="nil"/>
            </w:pBdr>
            <w:spacing w:line="240" w:lineRule="auto"/>
            <w:rPr>
              <w:rFonts w:ascii="Garamond" w:eastAsia="Garamond" w:hAnsi="Garamond" w:cs="Garamond"/>
              <w:color w:val="231F20"/>
              <w:sz w:val="15"/>
              <w:szCs w:val="15"/>
              <w:lang w:val="en-GB"/>
            </w:rPr>
          </w:pPr>
          <w:proofErr w:type="spellStart"/>
          <w:r w:rsidRPr="008F221B">
            <w:rPr>
              <w:rFonts w:ascii="Garamond" w:eastAsia="Garamond" w:hAnsi="Garamond" w:cs="Garamond"/>
              <w:color w:val="231F20"/>
              <w:sz w:val="15"/>
              <w:szCs w:val="15"/>
              <w:lang w:val="en-GB"/>
            </w:rPr>
            <w:t>Amazigo</w:t>
          </w:r>
          <w:proofErr w:type="spellEnd"/>
          <w:r w:rsidRPr="008F221B">
            <w:rPr>
              <w:rFonts w:ascii="Garamond" w:eastAsia="Garamond" w:hAnsi="Garamond" w:cs="Garamond"/>
              <w:color w:val="231F20"/>
              <w:sz w:val="15"/>
              <w:szCs w:val="15"/>
              <w:lang w:val="en-GB"/>
            </w:rPr>
            <w:t>, U. V., Leak, S. G. A., Zoure, H. G. M., Okoronkwo, C., Diop Ly, M., Isiyaku, S., C</w:t>
          </w:r>
          <w:r w:rsidRPr="00C973E9">
            <w:rPr>
              <w:rFonts w:ascii="Garamond" w:eastAsia="Garamond" w:hAnsi="Garamond" w:cs="Garamond"/>
              <w:sz w:val="15"/>
              <w:szCs w:val="15"/>
              <w:lang w:val="en-GB"/>
            </w:rPr>
            <w:t xml:space="preserve">rump, A., </w:t>
          </w:r>
          <w:proofErr w:type="spellStart"/>
          <w:r w:rsidRPr="00C973E9">
            <w:rPr>
              <w:rFonts w:ascii="Garamond" w:eastAsia="Garamond" w:hAnsi="Garamond" w:cs="Garamond"/>
              <w:sz w:val="15"/>
              <w:szCs w:val="15"/>
              <w:lang w:val="en-GB"/>
            </w:rPr>
            <w:t>Okeibunor</w:t>
          </w:r>
          <w:proofErr w:type="spellEnd"/>
          <w:r w:rsidRPr="00C973E9">
            <w:rPr>
              <w:rFonts w:ascii="Garamond" w:eastAsia="Garamond" w:hAnsi="Garamond" w:cs="Garamond"/>
              <w:sz w:val="15"/>
              <w:szCs w:val="15"/>
              <w:lang w:val="en-GB"/>
            </w:rPr>
            <w:t xml:space="preserve">, J. C., &amp; </w:t>
          </w:r>
          <w:proofErr w:type="spellStart"/>
          <w:r w:rsidRPr="00C973E9">
            <w:rPr>
              <w:rFonts w:ascii="Garamond" w:eastAsia="Garamond" w:hAnsi="Garamond" w:cs="Garamond"/>
              <w:sz w:val="15"/>
              <w:szCs w:val="15"/>
              <w:lang w:val="en-GB"/>
            </w:rPr>
            <w:t>Boatin</w:t>
          </w:r>
          <w:proofErr w:type="spellEnd"/>
          <w:r w:rsidRPr="00C973E9">
            <w:rPr>
              <w:rFonts w:ascii="Garamond" w:eastAsia="Garamond" w:hAnsi="Garamond" w:cs="Garamond"/>
              <w:sz w:val="15"/>
              <w:szCs w:val="15"/>
              <w:lang w:val="en-GB"/>
            </w:rPr>
            <w:t xml:space="preserve">, B. (2021). Community-directed distributors-The "foot soldiers" in the fight to control and eliminate neglected tropical diseases. PLOS Neglected Tropical Diseases, 15(3), e0009088. </w:t>
          </w:r>
          <w:hyperlink r:id="rId11" w:history="1">
            <w:r w:rsidR="00C973E9" w:rsidRPr="00C973E9">
              <w:rPr>
                <w:rStyle w:val="Hyperlink"/>
                <w:rFonts w:ascii="Garamond" w:eastAsia="Garamond" w:hAnsi="Garamond" w:cs="Garamond"/>
                <w:color w:val="auto"/>
                <w:sz w:val="15"/>
                <w:szCs w:val="15"/>
                <w:lang w:val="en-GB"/>
              </w:rPr>
              <w:t>https://doi.org/10.1371/journal.pntd.0009088</w:t>
            </w:r>
          </w:hyperlink>
          <w:bookmarkEnd w:id="1"/>
        </w:p>
        <w:p w14:paraId="1297E18D" w14:textId="77777777" w:rsidR="00C973E9" w:rsidRPr="00C973E9" w:rsidRDefault="00000000" w:rsidP="00C973E9">
          <w:pPr>
            <w:pStyle w:val="ListParagraph"/>
            <w:widowControl w:val="0"/>
            <w:pBdr>
              <w:top w:val="nil"/>
              <w:left w:val="nil"/>
              <w:bottom w:val="nil"/>
              <w:right w:val="nil"/>
              <w:between w:val="nil"/>
            </w:pBdr>
            <w:spacing w:line="240" w:lineRule="auto"/>
            <w:rPr>
              <w:rFonts w:ascii="Garamond" w:eastAsia="Garamond" w:hAnsi="Garamond" w:cs="Garamond"/>
              <w:color w:val="231F20"/>
              <w:sz w:val="15"/>
              <w:szCs w:val="15"/>
              <w:lang w:val="en-GB"/>
            </w:rPr>
          </w:pPr>
        </w:p>
      </w:sdtContent>
    </w:sdt>
    <w:sectPr w:rsidR="00C973E9" w:rsidRPr="00C973E9" w:rsidSect="00443D2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6689" w14:textId="77777777" w:rsidR="008727B9" w:rsidRDefault="008727B9">
      <w:pPr>
        <w:spacing w:line="240" w:lineRule="auto"/>
      </w:pPr>
      <w:r>
        <w:separator/>
      </w:r>
    </w:p>
  </w:endnote>
  <w:endnote w:type="continuationSeparator" w:id="0">
    <w:p w14:paraId="7B26F437" w14:textId="77777777" w:rsidR="008727B9" w:rsidRDefault="00872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DE57" w14:textId="6C6B5586" w:rsidR="00CF5DBA" w:rsidRPr="002872FE" w:rsidRDefault="002872FE" w:rsidP="002872FE">
    <w:pPr>
      <w:pStyle w:val="Footer"/>
      <w:ind w:right="-720"/>
      <w:jc w:val="right"/>
      <w:rPr>
        <w:color w:val="009999"/>
        <w:sz w:val="18"/>
        <w:szCs w:val="18"/>
      </w:rPr>
    </w:pPr>
    <w:r w:rsidRPr="002872FE">
      <w:rPr>
        <w:color w:val="009999"/>
        <w:sz w:val="18"/>
        <w:szCs w:val="18"/>
      </w:rPr>
      <w:t xml:space="preserve">Page </w:t>
    </w:r>
    <w:sdt>
      <w:sdtPr>
        <w:rPr>
          <w:color w:val="009999"/>
          <w:sz w:val="18"/>
          <w:szCs w:val="18"/>
        </w:rPr>
        <w:id w:val="1477174463"/>
        <w:docPartObj>
          <w:docPartGallery w:val="Page Numbers (Bottom of Page)"/>
          <w:docPartUnique/>
        </w:docPartObj>
      </w:sdtPr>
      <w:sdtEndPr>
        <w:rPr>
          <w:noProof/>
        </w:rPr>
      </w:sdtEndPr>
      <w:sdtContent>
        <w:r w:rsidR="00CF5DBA" w:rsidRPr="002872FE">
          <w:rPr>
            <w:color w:val="009999"/>
            <w:sz w:val="18"/>
            <w:szCs w:val="18"/>
          </w:rPr>
          <w:fldChar w:fldCharType="begin"/>
        </w:r>
        <w:r w:rsidR="00CF5DBA" w:rsidRPr="002872FE">
          <w:rPr>
            <w:color w:val="009999"/>
            <w:sz w:val="18"/>
            <w:szCs w:val="18"/>
          </w:rPr>
          <w:instrText xml:space="preserve"> PAGE   \* MERGEFORMAT </w:instrText>
        </w:r>
        <w:r w:rsidR="00CF5DBA" w:rsidRPr="002872FE">
          <w:rPr>
            <w:color w:val="009999"/>
            <w:sz w:val="18"/>
            <w:szCs w:val="18"/>
          </w:rPr>
          <w:fldChar w:fldCharType="separate"/>
        </w:r>
        <w:r w:rsidR="00CF5DBA" w:rsidRPr="002872FE">
          <w:rPr>
            <w:noProof/>
            <w:color w:val="009999"/>
            <w:sz w:val="18"/>
            <w:szCs w:val="18"/>
          </w:rPr>
          <w:t>2</w:t>
        </w:r>
        <w:r w:rsidR="00CF5DBA" w:rsidRPr="002872FE">
          <w:rPr>
            <w:noProof/>
            <w:color w:val="009999"/>
            <w:sz w:val="18"/>
            <w:szCs w:val="18"/>
          </w:rPr>
          <w:fldChar w:fldCharType="end"/>
        </w:r>
      </w:sdtContent>
    </w:sdt>
  </w:p>
  <w:p w14:paraId="69969CA2" w14:textId="77777777" w:rsidR="00E011CB" w:rsidRDefault="00E0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9999"/>
      </w:rPr>
      <w:id w:val="-132415498"/>
      <w:docPartObj>
        <w:docPartGallery w:val="Page Numbers (Bottom of Page)"/>
        <w:docPartUnique/>
      </w:docPartObj>
    </w:sdtPr>
    <w:sdtEndPr>
      <w:rPr>
        <w:noProof/>
        <w:sz w:val="18"/>
        <w:szCs w:val="18"/>
      </w:rPr>
    </w:sdtEndPr>
    <w:sdtContent>
      <w:p w14:paraId="441BCC48" w14:textId="1324CCBF" w:rsidR="009020E6" w:rsidRPr="003A2869" w:rsidRDefault="00E011CB" w:rsidP="003A2869">
        <w:pPr>
          <w:pStyle w:val="Footer"/>
          <w:ind w:left="-900"/>
          <w:rPr>
            <w:color w:val="009999"/>
            <w:sz w:val="18"/>
            <w:szCs w:val="18"/>
          </w:rPr>
        </w:pPr>
        <w:r w:rsidRPr="003A2869">
          <w:rPr>
            <w:color w:val="009999"/>
            <w:sz w:val="18"/>
            <w:szCs w:val="18"/>
          </w:rPr>
          <w:t xml:space="preserve">Page </w:t>
        </w:r>
        <w:r w:rsidR="009020E6" w:rsidRPr="003A2869">
          <w:rPr>
            <w:color w:val="009999"/>
            <w:sz w:val="18"/>
            <w:szCs w:val="18"/>
          </w:rPr>
          <w:fldChar w:fldCharType="begin"/>
        </w:r>
        <w:r w:rsidR="009020E6" w:rsidRPr="003A2869">
          <w:rPr>
            <w:color w:val="009999"/>
            <w:sz w:val="18"/>
            <w:szCs w:val="18"/>
          </w:rPr>
          <w:instrText xml:space="preserve"> PAGE   \* MERGEFORMAT </w:instrText>
        </w:r>
        <w:r w:rsidR="009020E6" w:rsidRPr="003A2869">
          <w:rPr>
            <w:color w:val="009999"/>
            <w:sz w:val="18"/>
            <w:szCs w:val="18"/>
          </w:rPr>
          <w:fldChar w:fldCharType="separate"/>
        </w:r>
        <w:r w:rsidR="009020E6" w:rsidRPr="003A2869">
          <w:rPr>
            <w:noProof/>
            <w:color w:val="009999"/>
            <w:sz w:val="18"/>
            <w:szCs w:val="18"/>
          </w:rPr>
          <w:t>2</w:t>
        </w:r>
        <w:r w:rsidR="009020E6" w:rsidRPr="003A2869">
          <w:rPr>
            <w:noProof/>
            <w:color w:val="009999"/>
            <w:sz w:val="18"/>
            <w:szCs w:val="18"/>
          </w:rPr>
          <w:fldChar w:fldCharType="end"/>
        </w:r>
      </w:p>
    </w:sdtContent>
  </w:sdt>
  <w:p w14:paraId="0C245CAA" w14:textId="77777777" w:rsidR="005D72B9" w:rsidRDefault="005D72B9">
    <w:pPr>
      <w:widowControl w:val="0"/>
      <w:pBdr>
        <w:top w:val="nil"/>
        <w:left w:val="nil"/>
        <w:bottom w:val="nil"/>
        <w:right w:val="nil"/>
        <w:between w:val="nil"/>
      </w:pBdr>
      <w:rPr>
        <w:color w:val="0099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E8D4" w14:textId="7F97F09C" w:rsidR="002872FE" w:rsidRPr="002872FE" w:rsidRDefault="007A12AB" w:rsidP="007A12AB">
    <w:pPr>
      <w:pStyle w:val="Footer"/>
      <w:ind w:left="-900" w:right="-720"/>
      <w:rPr>
        <w:color w:val="009999"/>
        <w:sz w:val="18"/>
        <w:szCs w:val="18"/>
      </w:rPr>
    </w:pPr>
    <w:r>
      <w:rPr>
        <w:noProof/>
      </w:rPr>
      <mc:AlternateContent>
        <mc:Choice Requires="wps">
          <w:drawing>
            <wp:anchor distT="45720" distB="45720" distL="114300" distR="114300" simplePos="0" relativeHeight="251662336" behindDoc="0" locked="0" layoutInCell="1" allowOverlap="1" wp14:anchorId="02F68497" wp14:editId="6D06F718">
              <wp:simplePos x="0" y="0"/>
              <wp:positionH relativeFrom="margin">
                <wp:align>left</wp:align>
              </wp:positionH>
              <wp:positionV relativeFrom="paragraph">
                <wp:posOffset>-133985</wp:posOffset>
              </wp:positionV>
              <wp:extent cx="5472430" cy="457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45720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1F54A1" w14:textId="341D389B" w:rsidR="007A12AB" w:rsidRDefault="007A12AB" w:rsidP="007A12AB">
                          <w:pPr>
                            <w:spacing w:line="288" w:lineRule="auto"/>
                            <w:textDirection w:val="btLr"/>
                          </w:pPr>
                          <w:r>
                            <w:rPr>
                              <w:rFonts w:ascii="Times New Roman" w:eastAsia="Times New Roman" w:hAnsi="Times New Roman" w:cs="Times New Roman"/>
                              <w:color w:val="000000"/>
                              <w:sz w:val="14"/>
                            </w:rPr>
                            <w:t>©</w:t>
                          </w:r>
                          <w:r w:rsidR="00D666E3">
                            <w:rPr>
                              <w:rFonts w:ascii="Times New Roman" w:eastAsia="Times New Roman" w:hAnsi="Times New Roman" w:cs="Times New Roman"/>
                              <w:color w:val="000000"/>
                              <w:sz w:val="14"/>
                            </w:rPr>
                            <w:t>202</w:t>
                          </w:r>
                          <w:r w:rsidR="00E63A46">
                            <w:rPr>
                              <w:rFonts w:ascii="Times New Roman" w:eastAsia="Times New Roman" w:hAnsi="Times New Roman" w:cs="Times New Roman"/>
                              <w:color w:val="000000"/>
                              <w:sz w:val="14"/>
                            </w:rPr>
                            <w:t>4</w:t>
                          </w:r>
                          <w:r w:rsidR="00D666E3">
                            <w:rPr>
                              <w:rFonts w:ascii="Times New Roman" w:eastAsia="Times New Roman" w:hAnsi="Times New Roman" w:cs="Times New Roman"/>
                              <w:color w:val="000000"/>
                              <w:sz w:val="14"/>
                            </w:rPr>
                            <w:t xml:space="preserve"> CUNNIGHAM ET AL.</w:t>
                          </w:r>
                          <w:r>
                            <w:rPr>
                              <w:rFonts w:ascii="Times New Roman" w:eastAsia="Times New Roman" w:hAnsi="Times New Roman" w:cs="Times New Roman"/>
                              <w:color w:val="000000"/>
                              <w:sz w:val="14"/>
                            </w:rPr>
                            <w:t xml:space="preserve"> This </w:t>
                          </w:r>
                          <w:r w:rsidR="00DF1787">
                            <w:rPr>
                              <w:rFonts w:ascii="Times New Roman" w:eastAsia="Times New Roman" w:hAnsi="Times New Roman" w:cs="Times New Roman"/>
                              <w:color w:val="000000"/>
                              <w:sz w:val="14"/>
                            </w:rPr>
                            <w:t>open access article is</w:t>
                          </w:r>
                          <w:r>
                            <w:rPr>
                              <w:rFonts w:ascii="Times New Roman" w:eastAsia="Times New Roman" w:hAnsi="Times New Roman" w:cs="Times New Roman"/>
                              <w:color w:val="000000"/>
                              <w:sz w:val="14"/>
                            </w:rPr>
                            <w:t xml:space="preserve"> distributed under the terms of the Creative Commons Attribution License (CC-BY 4.0), which permits the user to copy, distribute, and transmit the work provided that the original author(s) and source are credited.</w:t>
                          </w:r>
                        </w:p>
                        <w:p w14:paraId="73C8F625" w14:textId="68B12FE1" w:rsidR="007A12AB" w:rsidRDefault="007A12AB" w:rsidP="00DF1787">
                          <w:pPr>
                            <w:spacing w:line="288" w:lineRule="auto"/>
                            <w:textDirection w:val="btLr"/>
                          </w:pPr>
                          <w:r>
                            <w:rPr>
                              <w:rFonts w:ascii="Times New Roman" w:eastAsia="Times New Roman" w:hAnsi="Times New Roman" w:cs="Times New Roman"/>
                              <w:color w:val="000000"/>
                              <w:sz w:val="14"/>
                            </w:rPr>
                            <w:t xml:space="preserve">Send correspondence to: </w:t>
                          </w:r>
                          <w:r w:rsidR="00DF1787">
                            <w:rPr>
                              <w:rFonts w:ascii="Times New Roman" w:eastAsia="Times New Roman" w:hAnsi="Times New Roman" w:cs="Times New Roman"/>
                              <w:color w:val="000000"/>
                              <w:sz w:val="14"/>
                            </w:rPr>
                            <w:t>CORA.CUNNINGHAM@TUFTS.EDU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68497" id="_x0000_t202" coordsize="21600,21600" o:spt="202" path="m,l,21600r21600,l21600,xe">
              <v:stroke joinstyle="miter"/>
              <v:path gradientshapeok="t" o:connecttype="rect"/>
            </v:shapetype>
            <v:shape id="Text Box 2" o:spid="_x0000_s1036" type="#_x0000_t202" style="position:absolute;left:0;text-align:left;margin-left:0;margin-top:-10.55pt;width:430.9pt;height:3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" filled="f">
              <v:stroke opacity="0"/>
              <v:textbox>
                <w:txbxContent>
                  <w:p w14:paraId="351F54A1" w14:textId="341D389B" w:rsidR="007A12AB" w:rsidRDefault="007A12AB" w:rsidP="007A12AB">
                    <w:pPr>
                      <w:spacing w:line="288" w:lineRule="auto"/>
                      <w:textDirection w:val="btLr"/>
                    </w:pPr>
                    <w:r>
                      <w:rPr>
                        <w:rFonts w:ascii="Times New Roman" w:eastAsia="Times New Roman" w:hAnsi="Times New Roman" w:cs="Times New Roman"/>
                        <w:color w:val="000000"/>
                        <w:sz w:val="14"/>
                      </w:rPr>
                      <w:t>©</w:t>
                    </w:r>
                    <w:r w:rsidR="00D666E3">
                      <w:rPr>
                        <w:rFonts w:ascii="Times New Roman" w:eastAsia="Times New Roman" w:hAnsi="Times New Roman" w:cs="Times New Roman"/>
                        <w:color w:val="000000"/>
                        <w:sz w:val="14"/>
                      </w:rPr>
                      <w:t>202</w:t>
                    </w:r>
                    <w:r w:rsidR="00E63A46">
                      <w:rPr>
                        <w:rFonts w:ascii="Times New Roman" w:eastAsia="Times New Roman" w:hAnsi="Times New Roman" w:cs="Times New Roman"/>
                        <w:color w:val="000000"/>
                        <w:sz w:val="14"/>
                      </w:rPr>
                      <w:t>4</w:t>
                    </w:r>
                    <w:r w:rsidR="00D666E3">
                      <w:rPr>
                        <w:rFonts w:ascii="Times New Roman" w:eastAsia="Times New Roman" w:hAnsi="Times New Roman" w:cs="Times New Roman"/>
                        <w:color w:val="000000"/>
                        <w:sz w:val="14"/>
                      </w:rPr>
                      <w:t xml:space="preserve"> CUNNIGHAM ET AL.</w:t>
                    </w:r>
                    <w:r>
                      <w:rPr>
                        <w:rFonts w:ascii="Times New Roman" w:eastAsia="Times New Roman" w:hAnsi="Times New Roman" w:cs="Times New Roman"/>
                        <w:color w:val="000000"/>
                        <w:sz w:val="14"/>
                      </w:rPr>
                      <w:t xml:space="preserve"> This </w:t>
                    </w:r>
                    <w:r w:rsidR="00DF1787">
                      <w:rPr>
                        <w:rFonts w:ascii="Times New Roman" w:eastAsia="Times New Roman" w:hAnsi="Times New Roman" w:cs="Times New Roman"/>
                        <w:color w:val="000000"/>
                        <w:sz w:val="14"/>
                      </w:rPr>
                      <w:t>open access article is</w:t>
                    </w:r>
                    <w:r>
                      <w:rPr>
                        <w:rFonts w:ascii="Times New Roman" w:eastAsia="Times New Roman" w:hAnsi="Times New Roman" w:cs="Times New Roman"/>
                        <w:color w:val="000000"/>
                        <w:sz w:val="14"/>
                      </w:rPr>
                      <w:t xml:space="preserve"> distributed under the terms of the Creative Commons Attribution License (CC-BY 4.0), which permits the user to copy, distribute, and transmit the work provided that the original author(s) and source are credited.</w:t>
                    </w:r>
                  </w:p>
                  <w:p w14:paraId="73C8F625" w14:textId="68B12FE1" w:rsidR="007A12AB" w:rsidRDefault="007A12AB" w:rsidP="00DF1787">
                    <w:pPr>
                      <w:spacing w:line="288" w:lineRule="auto"/>
                      <w:textDirection w:val="btLr"/>
                    </w:pPr>
                    <w:r>
                      <w:rPr>
                        <w:rFonts w:ascii="Times New Roman" w:eastAsia="Times New Roman" w:hAnsi="Times New Roman" w:cs="Times New Roman"/>
                        <w:color w:val="000000"/>
                        <w:sz w:val="14"/>
                      </w:rPr>
                      <w:t xml:space="preserve">Send correspondence to: </w:t>
                    </w:r>
                    <w:r w:rsidR="00DF1787">
                      <w:rPr>
                        <w:rFonts w:ascii="Times New Roman" w:eastAsia="Times New Roman" w:hAnsi="Times New Roman" w:cs="Times New Roman"/>
                        <w:color w:val="000000"/>
                        <w:sz w:val="14"/>
                      </w:rPr>
                      <w:t>CORA.CUNNINGHAM@TUFTS.EDU</w:t>
                    </w:r>
                  </w:p>
                </w:txbxContent>
              </v:textbox>
              <w10:wrap type="square" anchorx="margin"/>
            </v:shape>
          </w:pict>
        </mc:Fallback>
      </mc:AlternateContent>
    </w:r>
    <w:r w:rsidR="002872FE" w:rsidRPr="002872FE">
      <w:rPr>
        <w:color w:val="009999"/>
        <w:sz w:val="18"/>
        <w:szCs w:val="18"/>
      </w:rPr>
      <w:t xml:space="preserve">Page </w:t>
    </w:r>
    <w:sdt>
      <w:sdtPr>
        <w:rPr>
          <w:color w:val="009999"/>
          <w:sz w:val="18"/>
          <w:szCs w:val="18"/>
        </w:rPr>
        <w:id w:val="508796436"/>
        <w:docPartObj>
          <w:docPartGallery w:val="Page Numbers (Bottom of Page)"/>
          <w:docPartUnique/>
        </w:docPartObj>
      </w:sdtPr>
      <w:sdtEndPr>
        <w:rPr>
          <w:noProof/>
        </w:rPr>
      </w:sdtEndPr>
      <w:sdtContent>
        <w:r w:rsidR="002872FE" w:rsidRPr="002872FE">
          <w:rPr>
            <w:color w:val="009999"/>
            <w:sz w:val="18"/>
            <w:szCs w:val="18"/>
          </w:rPr>
          <w:fldChar w:fldCharType="begin"/>
        </w:r>
        <w:r w:rsidR="002872FE" w:rsidRPr="002872FE">
          <w:rPr>
            <w:color w:val="009999"/>
            <w:sz w:val="18"/>
            <w:szCs w:val="18"/>
          </w:rPr>
          <w:instrText xml:space="preserve"> PAGE   \* MERGEFORMAT </w:instrText>
        </w:r>
        <w:r w:rsidR="002872FE" w:rsidRPr="002872FE">
          <w:rPr>
            <w:color w:val="009999"/>
            <w:sz w:val="18"/>
            <w:szCs w:val="18"/>
          </w:rPr>
          <w:fldChar w:fldCharType="separate"/>
        </w:r>
        <w:r w:rsidR="002872FE" w:rsidRPr="002872FE">
          <w:rPr>
            <w:noProof/>
            <w:color w:val="009999"/>
            <w:sz w:val="18"/>
            <w:szCs w:val="18"/>
          </w:rPr>
          <w:t>2</w:t>
        </w:r>
        <w:r w:rsidR="002872FE" w:rsidRPr="002872FE">
          <w:rPr>
            <w:noProof/>
            <w:color w:val="009999"/>
            <w:sz w:val="18"/>
            <w:szCs w:val="18"/>
          </w:rPr>
          <w:fldChar w:fldCharType="end"/>
        </w:r>
      </w:sdtContent>
    </w:sdt>
  </w:p>
  <w:p w14:paraId="7499CB3A" w14:textId="79728538" w:rsidR="005D72B9" w:rsidRDefault="005D72B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992E" w14:textId="77777777" w:rsidR="008727B9" w:rsidRDefault="008727B9">
      <w:pPr>
        <w:spacing w:line="240" w:lineRule="auto"/>
      </w:pPr>
      <w:r>
        <w:separator/>
      </w:r>
    </w:p>
  </w:footnote>
  <w:footnote w:type="continuationSeparator" w:id="0">
    <w:p w14:paraId="6EC8D66B" w14:textId="77777777" w:rsidR="008727B9" w:rsidRDefault="00872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6430" w14:textId="0095759D" w:rsidR="00443D2D" w:rsidRDefault="00443D2D">
    <w:pPr>
      <w:pStyle w:val="Header"/>
    </w:pPr>
  </w:p>
  <w:p w14:paraId="4989E7C7" w14:textId="4A3412C1" w:rsidR="00443D2D" w:rsidRDefault="007C4F8B">
    <w:pPr>
      <w:pStyle w:val="Header"/>
    </w:pPr>
    <w:r>
      <w:rPr>
        <w:noProof/>
      </w:rPr>
      <mc:AlternateContent>
        <mc:Choice Requires="wpg">
          <w:drawing>
            <wp:anchor distT="0" distB="0" distL="114300" distR="114300" simplePos="0" relativeHeight="251659264" behindDoc="0" locked="0" layoutInCell="1" allowOverlap="1" wp14:anchorId="6ECA1845" wp14:editId="713CF29B">
              <wp:simplePos x="0" y="0"/>
              <wp:positionH relativeFrom="column">
                <wp:posOffset>-6350</wp:posOffset>
              </wp:positionH>
              <wp:positionV relativeFrom="paragraph">
                <wp:posOffset>544195</wp:posOffset>
              </wp:positionV>
              <wp:extent cx="6135370" cy="260985"/>
              <wp:effectExtent l="1270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260985"/>
                        <a:chOff x="1800" y="1180"/>
                        <a:chExt cx="9662" cy="411"/>
                      </a:xfrm>
                    </wpg:grpSpPr>
                    <wps:wsp>
                      <wps:cNvPr id="6" name="Rectangle 3"/>
                      <wps:cNvSpPr>
                        <a:spLocks noChangeArrowheads="1"/>
                      </wps:cNvSpPr>
                      <wps:spPr bwMode="auto">
                        <a:xfrm>
                          <a:off x="5980" y="1180"/>
                          <a:ext cx="548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2ACE2" w14:textId="3CAF7AC9" w:rsidR="00443D2D" w:rsidRDefault="005F2978" w:rsidP="00443D2D">
                            <w:pPr>
                              <w:spacing w:line="240" w:lineRule="auto"/>
                              <w:jc w:val="right"/>
                              <w:textDirection w:val="btLr"/>
                            </w:pPr>
                            <w:r w:rsidRPr="005F2978">
                              <w:rPr>
                                <w:rFonts w:ascii="Helvetica Neue" w:eastAsia="Helvetica Neue" w:hAnsi="Helvetica Neue" w:cs="Helvetica Neue"/>
                                <w:b/>
                                <w:color w:val="009999"/>
                                <w:sz w:val="18"/>
                              </w:rPr>
                              <w:t>Cunningham</w:t>
                            </w:r>
                            <w:r w:rsidR="00443D2D">
                              <w:rPr>
                                <w:rFonts w:ascii="Helvetica Neue" w:eastAsia="Helvetica Neue" w:hAnsi="Helvetica Neue" w:cs="Helvetica Neue"/>
                                <w:b/>
                                <w:color w:val="009999"/>
                                <w:sz w:val="18"/>
                              </w:rPr>
                              <w:t xml:space="preserve"> et al. | JGH Fall 202</w:t>
                            </w:r>
                            <w:r>
                              <w:rPr>
                                <w:rFonts w:ascii="Helvetica Neue" w:eastAsia="Helvetica Neue" w:hAnsi="Helvetica Neue" w:cs="Helvetica Neue"/>
                                <w:b/>
                                <w:color w:val="009999"/>
                                <w:sz w:val="18"/>
                              </w:rPr>
                              <w:t>4</w:t>
                            </w:r>
                            <w:r w:rsidR="00443D2D">
                              <w:rPr>
                                <w:rFonts w:ascii="Helvetica Neue" w:eastAsia="Helvetica Neue" w:hAnsi="Helvetica Neue" w:cs="Helvetica Neue"/>
                                <w:b/>
                                <w:color w:val="009999"/>
                                <w:sz w:val="18"/>
                              </w:rPr>
                              <w:t>, Volume XI</w:t>
                            </w:r>
                            <w:r>
                              <w:rPr>
                                <w:rFonts w:ascii="Helvetica Neue" w:eastAsia="Helvetica Neue" w:hAnsi="Helvetica Neue" w:cs="Helvetica Neue"/>
                                <w:b/>
                                <w:color w:val="009999"/>
                                <w:sz w:val="18"/>
                              </w:rPr>
                              <w:t>V</w:t>
                            </w:r>
                            <w:r w:rsidR="00443D2D">
                              <w:rPr>
                                <w:rFonts w:ascii="Helvetica Neue" w:eastAsia="Helvetica Neue" w:hAnsi="Helvetica Neue" w:cs="Helvetica Neue"/>
                                <w:b/>
                                <w:color w:val="009999"/>
                                <w:sz w:val="18"/>
                              </w:rPr>
                              <w:t xml:space="preserve"> Issue I</w:t>
                            </w:r>
                            <w:r w:rsidR="002E25F7">
                              <w:rPr>
                                <w:rFonts w:ascii="Helvetica Neue" w:eastAsia="Helvetica Neue" w:hAnsi="Helvetica Neue" w:cs="Helvetica Neue"/>
                                <w:b/>
                                <w:color w:val="009999"/>
                                <w:sz w:val="18"/>
                              </w:rPr>
                              <w:t>I</w:t>
                            </w:r>
                            <w:r w:rsidR="00443D2D">
                              <w:rPr>
                                <w:rFonts w:ascii="Helvetica Neue" w:eastAsia="Helvetica Neue" w:hAnsi="Helvetica Neue" w:cs="Helvetica Neue"/>
                                <w:b/>
                                <w:color w:val="009999"/>
                                <w:sz w:val="18"/>
                              </w:rPr>
                              <w:t xml:space="preserve"> </w:t>
                            </w:r>
                          </w:p>
                          <w:p w14:paraId="7D0F4EB0" w14:textId="77777777" w:rsidR="00443D2D" w:rsidRDefault="00443D2D" w:rsidP="00443D2D">
                            <w:pPr>
                              <w:spacing w:line="275" w:lineRule="auto"/>
                              <w:textDirection w:val="btLr"/>
                            </w:pPr>
                          </w:p>
                        </w:txbxContent>
                      </wps:txbx>
                      <wps:bodyPr rot="0" vert="horz" wrap="square" lIns="91425" tIns="45698" rIns="91425" bIns="45698" anchor="t" anchorCtr="0" upright="1">
                        <a:noAutofit/>
                      </wps:bodyPr>
                    </wps:wsp>
                    <wps:wsp>
                      <wps:cNvPr id="7" name="AutoShape 4"/>
                      <wps:cNvCnPr>
                        <a:cxnSpLocks noChangeShapeType="1"/>
                      </wps:cNvCnPr>
                      <wps:spPr bwMode="auto">
                        <a:xfrm>
                          <a:off x="1800" y="1440"/>
                          <a:ext cx="9504"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CA1845" id="Group 2" o:spid="_x0000_s1030" style="position:absolute;margin-left:-.5pt;margin-top:42.85pt;width:483.1pt;height:20.55pt;z-index:251659264" coordorigin="1800,1180" coordsize="966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">
              <v:rect id="Rectangle 3" o:spid="_x0000_s1031" style="position:absolute;left:5980;top:1180;width:548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" filled="f" stroked="f">
                <v:textbox inset="2.53958mm,1.2694mm,2.53958mm,1.2694mm">
                  <w:txbxContent>
                    <w:p w14:paraId="72E2ACE2" w14:textId="3CAF7AC9" w:rsidR="00443D2D" w:rsidRDefault="005F2978" w:rsidP="00443D2D">
                      <w:pPr>
                        <w:spacing w:line="240" w:lineRule="auto"/>
                        <w:jc w:val="right"/>
                        <w:textDirection w:val="btLr"/>
                      </w:pPr>
                      <w:r w:rsidRPr="005F2978">
                        <w:rPr>
                          <w:rFonts w:ascii="Helvetica Neue" w:eastAsia="Helvetica Neue" w:hAnsi="Helvetica Neue" w:cs="Helvetica Neue"/>
                          <w:b/>
                          <w:color w:val="009999"/>
                          <w:sz w:val="18"/>
                        </w:rPr>
                        <w:t>Cunningham</w:t>
                      </w:r>
                      <w:r w:rsidR="00443D2D">
                        <w:rPr>
                          <w:rFonts w:ascii="Helvetica Neue" w:eastAsia="Helvetica Neue" w:hAnsi="Helvetica Neue" w:cs="Helvetica Neue"/>
                          <w:b/>
                          <w:color w:val="009999"/>
                          <w:sz w:val="18"/>
                        </w:rPr>
                        <w:t xml:space="preserve"> et al. | JGH Fall 202</w:t>
                      </w:r>
                      <w:r>
                        <w:rPr>
                          <w:rFonts w:ascii="Helvetica Neue" w:eastAsia="Helvetica Neue" w:hAnsi="Helvetica Neue" w:cs="Helvetica Neue"/>
                          <w:b/>
                          <w:color w:val="009999"/>
                          <w:sz w:val="18"/>
                        </w:rPr>
                        <w:t>4</w:t>
                      </w:r>
                      <w:r w:rsidR="00443D2D">
                        <w:rPr>
                          <w:rFonts w:ascii="Helvetica Neue" w:eastAsia="Helvetica Neue" w:hAnsi="Helvetica Neue" w:cs="Helvetica Neue"/>
                          <w:b/>
                          <w:color w:val="009999"/>
                          <w:sz w:val="18"/>
                        </w:rPr>
                        <w:t>, Volume XI</w:t>
                      </w:r>
                      <w:r>
                        <w:rPr>
                          <w:rFonts w:ascii="Helvetica Neue" w:eastAsia="Helvetica Neue" w:hAnsi="Helvetica Neue" w:cs="Helvetica Neue"/>
                          <w:b/>
                          <w:color w:val="009999"/>
                          <w:sz w:val="18"/>
                        </w:rPr>
                        <w:t>V</w:t>
                      </w:r>
                      <w:r w:rsidR="00443D2D">
                        <w:rPr>
                          <w:rFonts w:ascii="Helvetica Neue" w:eastAsia="Helvetica Neue" w:hAnsi="Helvetica Neue" w:cs="Helvetica Neue"/>
                          <w:b/>
                          <w:color w:val="009999"/>
                          <w:sz w:val="18"/>
                        </w:rPr>
                        <w:t xml:space="preserve"> Issue I</w:t>
                      </w:r>
                      <w:r w:rsidR="002E25F7">
                        <w:rPr>
                          <w:rFonts w:ascii="Helvetica Neue" w:eastAsia="Helvetica Neue" w:hAnsi="Helvetica Neue" w:cs="Helvetica Neue"/>
                          <w:b/>
                          <w:color w:val="009999"/>
                          <w:sz w:val="18"/>
                        </w:rPr>
                        <w:t>I</w:t>
                      </w:r>
                      <w:r w:rsidR="00443D2D">
                        <w:rPr>
                          <w:rFonts w:ascii="Helvetica Neue" w:eastAsia="Helvetica Neue" w:hAnsi="Helvetica Neue" w:cs="Helvetica Neue"/>
                          <w:b/>
                          <w:color w:val="009999"/>
                          <w:sz w:val="18"/>
                        </w:rPr>
                        <w:t xml:space="preserve"> </w:t>
                      </w:r>
                    </w:p>
                    <w:p w14:paraId="7D0F4EB0" w14:textId="77777777" w:rsidR="00443D2D" w:rsidRDefault="00443D2D" w:rsidP="00443D2D">
                      <w:pPr>
                        <w:spacing w:line="275" w:lineRule="auto"/>
                        <w:textDirection w:val="btLr"/>
                      </w:pPr>
                    </w:p>
                  </w:txbxContent>
                </v:textbox>
              </v:rect>
              <v:shapetype id="_x0000_t32" coordsize="21600,21600" o:spt="32" o:oned="t" path="m,l21600,21600e" filled="f">
                <v:path arrowok="t" fillok="f" o:connecttype="none"/>
                <o:lock v:ext="edit" shapetype="t"/>
              </v:shapetype>
              <v:shape id="AutoShape 4" o:spid="_x0000_s1032" type="#_x0000_t32" style="position:absolute;left:1800;top:1440;width:9504;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FD00" w14:textId="6304C259" w:rsidR="00443D2D" w:rsidRDefault="007C4F8B">
    <w:pPr>
      <w:pStyle w:val="Header"/>
    </w:pPr>
    <w:r>
      <w:rPr>
        <w:noProof/>
      </w:rPr>
      <mc:AlternateContent>
        <mc:Choice Requires="wpg">
          <w:drawing>
            <wp:anchor distT="0" distB="0" distL="114300" distR="114300" simplePos="0" relativeHeight="251660288" behindDoc="0" locked="0" layoutInCell="1" allowOverlap="1" wp14:anchorId="4D727339" wp14:editId="7C9CBB7D">
              <wp:simplePos x="0" y="0"/>
              <wp:positionH relativeFrom="column">
                <wp:posOffset>-628015</wp:posOffset>
              </wp:positionH>
              <wp:positionV relativeFrom="paragraph">
                <wp:posOffset>648335</wp:posOffset>
              </wp:positionV>
              <wp:extent cx="6129655" cy="260985"/>
              <wp:effectExtent l="0" t="0" r="17145"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260985"/>
                        <a:chOff x="801" y="1081"/>
                        <a:chExt cx="9653" cy="411"/>
                      </a:xfrm>
                    </wpg:grpSpPr>
                    <wps:wsp>
                      <wps:cNvPr id="3" name="Rectangle 6"/>
                      <wps:cNvSpPr>
                        <a:spLocks noChangeArrowheads="1"/>
                      </wps:cNvSpPr>
                      <wps:spPr bwMode="auto">
                        <a:xfrm>
                          <a:off x="801" y="1081"/>
                          <a:ext cx="548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E15E8" w14:textId="3306580C" w:rsidR="00443D2D" w:rsidRDefault="005F2978" w:rsidP="005F2978">
                            <w:pPr>
                              <w:spacing w:line="240" w:lineRule="auto"/>
                              <w:textDirection w:val="btLr"/>
                            </w:pPr>
                            <w:r w:rsidRPr="005F2978">
                              <w:rPr>
                                <w:rFonts w:ascii="Helvetica Neue" w:eastAsia="Helvetica Neue" w:hAnsi="Helvetica Neue" w:cs="Helvetica Neue"/>
                                <w:b/>
                                <w:bCs/>
                                <w:color w:val="009999"/>
                                <w:sz w:val="18"/>
                              </w:rPr>
                              <w:t>Cunningham</w:t>
                            </w:r>
                            <w:r w:rsidR="00907AB2">
                              <w:rPr>
                                <w:rFonts w:ascii="Helvetica Neue" w:eastAsia="Helvetica Neue" w:hAnsi="Helvetica Neue" w:cs="Helvetica Neue"/>
                                <w:b/>
                                <w:color w:val="009999"/>
                                <w:sz w:val="18"/>
                              </w:rPr>
                              <w:t xml:space="preserve"> et al.</w:t>
                            </w:r>
                            <w:r w:rsidR="00443D2D">
                              <w:rPr>
                                <w:rFonts w:ascii="Helvetica Neue" w:eastAsia="Helvetica Neue" w:hAnsi="Helvetica Neue" w:cs="Helvetica Neue"/>
                                <w:b/>
                                <w:color w:val="009999"/>
                                <w:sz w:val="18"/>
                              </w:rPr>
                              <w:t xml:space="preserve"> | JGH Fall 20</w:t>
                            </w:r>
                            <w:r>
                              <w:rPr>
                                <w:rFonts w:ascii="Helvetica Neue" w:eastAsia="Helvetica Neue" w:hAnsi="Helvetica Neue" w:cs="Helvetica Neue"/>
                                <w:b/>
                                <w:color w:val="009999"/>
                                <w:sz w:val="18"/>
                              </w:rPr>
                              <w:t>24</w:t>
                            </w:r>
                            <w:r w:rsidR="00443D2D">
                              <w:rPr>
                                <w:rFonts w:ascii="Helvetica Neue" w:eastAsia="Helvetica Neue" w:hAnsi="Helvetica Neue" w:cs="Helvetica Neue"/>
                                <w:b/>
                                <w:color w:val="009999"/>
                                <w:sz w:val="18"/>
                              </w:rPr>
                              <w:t>, Volume X</w:t>
                            </w:r>
                            <w:r w:rsidR="00907AB2">
                              <w:rPr>
                                <w:rFonts w:ascii="Helvetica Neue" w:eastAsia="Helvetica Neue" w:hAnsi="Helvetica Neue" w:cs="Helvetica Neue"/>
                                <w:b/>
                                <w:color w:val="009999"/>
                                <w:sz w:val="18"/>
                              </w:rPr>
                              <w:t>I</w:t>
                            </w:r>
                            <w:r>
                              <w:rPr>
                                <w:rFonts w:ascii="Helvetica Neue" w:eastAsia="Helvetica Neue" w:hAnsi="Helvetica Neue" w:cs="Helvetica Neue"/>
                                <w:b/>
                                <w:color w:val="009999"/>
                                <w:sz w:val="18"/>
                              </w:rPr>
                              <w:t>V</w:t>
                            </w:r>
                            <w:r w:rsidR="00443D2D">
                              <w:rPr>
                                <w:rFonts w:ascii="Helvetica Neue" w:eastAsia="Helvetica Neue" w:hAnsi="Helvetica Neue" w:cs="Helvetica Neue"/>
                                <w:b/>
                                <w:color w:val="009999"/>
                                <w:sz w:val="18"/>
                              </w:rPr>
                              <w:t xml:space="preserve"> Issue I</w:t>
                            </w:r>
                            <w:r w:rsidR="002E25F7">
                              <w:rPr>
                                <w:rFonts w:ascii="Helvetica Neue" w:eastAsia="Helvetica Neue" w:hAnsi="Helvetica Neue" w:cs="Helvetica Neue"/>
                                <w:b/>
                                <w:color w:val="009999"/>
                                <w:sz w:val="18"/>
                              </w:rPr>
                              <w:t>I</w:t>
                            </w:r>
                            <w:r w:rsidR="00443D2D">
                              <w:rPr>
                                <w:rFonts w:ascii="Helvetica Neue" w:eastAsia="Helvetica Neue" w:hAnsi="Helvetica Neue" w:cs="Helvetica Neue"/>
                                <w:b/>
                                <w:color w:val="009999"/>
                                <w:sz w:val="18"/>
                              </w:rPr>
                              <w:t xml:space="preserve"> </w:t>
                            </w:r>
                          </w:p>
                          <w:p w14:paraId="7FAB457C" w14:textId="77777777" w:rsidR="00443D2D" w:rsidRDefault="00443D2D" w:rsidP="00443D2D">
                            <w:pPr>
                              <w:spacing w:line="275" w:lineRule="auto"/>
                              <w:textDirection w:val="btLr"/>
                            </w:pPr>
                          </w:p>
                        </w:txbxContent>
                      </wps:txbx>
                      <wps:bodyPr rot="0" vert="horz" wrap="square" lIns="91425" tIns="45698" rIns="91425" bIns="45698" anchor="t" anchorCtr="0" upright="1">
                        <a:noAutofit/>
                      </wps:bodyPr>
                    </wps:wsp>
                    <wps:wsp>
                      <wps:cNvPr id="4" name="AutoShape 7"/>
                      <wps:cNvCnPr>
                        <a:cxnSpLocks noChangeShapeType="1"/>
                      </wps:cNvCnPr>
                      <wps:spPr bwMode="auto">
                        <a:xfrm>
                          <a:off x="950" y="1360"/>
                          <a:ext cx="9504"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27339" id="Group 5" o:spid="_x0000_s1033" style="position:absolute;margin-left:-49.45pt;margin-top:51.05pt;width:482.65pt;height:20.55pt;z-index:251660288" coordorigin="801,1081" coordsize="965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">
              <v:rect id="Rectangle 6" o:spid="_x0000_s1034" style="position:absolute;left:801;top:1081;width:548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" filled="f" stroked="f">
                <v:textbox inset="2.53958mm,1.2694mm,2.53958mm,1.2694mm">
                  <w:txbxContent>
                    <w:p w14:paraId="654E15E8" w14:textId="3306580C" w:rsidR="00443D2D" w:rsidRDefault="005F2978" w:rsidP="005F2978">
                      <w:pPr>
                        <w:spacing w:line="240" w:lineRule="auto"/>
                        <w:textDirection w:val="btLr"/>
                      </w:pPr>
                      <w:r w:rsidRPr="005F2978">
                        <w:rPr>
                          <w:rFonts w:ascii="Helvetica Neue" w:eastAsia="Helvetica Neue" w:hAnsi="Helvetica Neue" w:cs="Helvetica Neue"/>
                          <w:b/>
                          <w:bCs/>
                          <w:color w:val="009999"/>
                          <w:sz w:val="18"/>
                        </w:rPr>
                        <w:t>Cunningham</w:t>
                      </w:r>
                      <w:r w:rsidR="00907AB2">
                        <w:rPr>
                          <w:rFonts w:ascii="Helvetica Neue" w:eastAsia="Helvetica Neue" w:hAnsi="Helvetica Neue" w:cs="Helvetica Neue"/>
                          <w:b/>
                          <w:color w:val="009999"/>
                          <w:sz w:val="18"/>
                        </w:rPr>
                        <w:t xml:space="preserve"> et al.</w:t>
                      </w:r>
                      <w:r w:rsidR="00443D2D">
                        <w:rPr>
                          <w:rFonts w:ascii="Helvetica Neue" w:eastAsia="Helvetica Neue" w:hAnsi="Helvetica Neue" w:cs="Helvetica Neue"/>
                          <w:b/>
                          <w:color w:val="009999"/>
                          <w:sz w:val="18"/>
                        </w:rPr>
                        <w:t xml:space="preserve"> | JGH Fall 20</w:t>
                      </w:r>
                      <w:r>
                        <w:rPr>
                          <w:rFonts w:ascii="Helvetica Neue" w:eastAsia="Helvetica Neue" w:hAnsi="Helvetica Neue" w:cs="Helvetica Neue"/>
                          <w:b/>
                          <w:color w:val="009999"/>
                          <w:sz w:val="18"/>
                        </w:rPr>
                        <w:t>24</w:t>
                      </w:r>
                      <w:r w:rsidR="00443D2D">
                        <w:rPr>
                          <w:rFonts w:ascii="Helvetica Neue" w:eastAsia="Helvetica Neue" w:hAnsi="Helvetica Neue" w:cs="Helvetica Neue"/>
                          <w:b/>
                          <w:color w:val="009999"/>
                          <w:sz w:val="18"/>
                        </w:rPr>
                        <w:t>, Volume X</w:t>
                      </w:r>
                      <w:r w:rsidR="00907AB2">
                        <w:rPr>
                          <w:rFonts w:ascii="Helvetica Neue" w:eastAsia="Helvetica Neue" w:hAnsi="Helvetica Neue" w:cs="Helvetica Neue"/>
                          <w:b/>
                          <w:color w:val="009999"/>
                          <w:sz w:val="18"/>
                        </w:rPr>
                        <w:t>I</w:t>
                      </w:r>
                      <w:r>
                        <w:rPr>
                          <w:rFonts w:ascii="Helvetica Neue" w:eastAsia="Helvetica Neue" w:hAnsi="Helvetica Neue" w:cs="Helvetica Neue"/>
                          <w:b/>
                          <w:color w:val="009999"/>
                          <w:sz w:val="18"/>
                        </w:rPr>
                        <w:t>V</w:t>
                      </w:r>
                      <w:r w:rsidR="00443D2D">
                        <w:rPr>
                          <w:rFonts w:ascii="Helvetica Neue" w:eastAsia="Helvetica Neue" w:hAnsi="Helvetica Neue" w:cs="Helvetica Neue"/>
                          <w:b/>
                          <w:color w:val="009999"/>
                          <w:sz w:val="18"/>
                        </w:rPr>
                        <w:t xml:space="preserve"> Issue I</w:t>
                      </w:r>
                      <w:r w:rsidR="002E25F7">
                        <w:rPr>
                          <w:rFonts w:ascii="Helvetica Neue" w:eastAsia="Helvetica Neue" w:hAnsi="Helvetica Neue" w:cs="Helvetica Neue"/>
                          <w:b/>
                          <w:color w:val="009999"/>
                          <w:sz w:val="18"/>
                        </w:rPr>
                        <w:t>I</w:t>
                      </w:r>
                      <w:r w:rsidR="00443D2D">
                        <w:rPr>
                          <w:rFonts w:ascii="Helvetica Neue" w:eastAsia="Helvetica Neue" w:hAnsi="Helvetica Neue" w:cs="Helvetica Neue"/>
                          <w:b/>
                          <w:color w:val="009999"/>
                          <w:sz w:val="18"/>
                        </w:rPr>
                        <w:t xml:space="preserve"> </w:t>
                      </w:r>
                    </w:p>
                    <w:p w14:paraId="7FAB457C" w14:textId="77777777" w:rsidR="00443D2D" w:rsidRDefault="00443D2D" w:rsidP="00443D2D">
                      <w:pPr>
                        <w:spacing w:line="275" w:lineRule="auto"/>
                        <w:textDirection w:val="btLr"/>
                      </w:pPr>
                    </w:p>
                  </w:txbxContent>
                </v:textbox>
              </v:rect>
              <v:shapetype id="_x0000_t32" coordsize="21600,21600" o:spt="32" o:oned="t" path="m,l21600,21600e" filled="f">
                <v:path arrowok="t" fillok="f" o:connecttype="none"/>
                <o:lock v:ext="edit" shapetype="t"/>
              </v:shapetype>
              <v:shape id="AutoShape 7" o:spid="_x0000_s1035" type="#_x0000_t32" style="position:absolute;left:950;top:1360;width:9504;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AF22" w14:textId="77777777" w:rsidR="005D72B9" w:rsidRDefault="00306140">
    <w:pPr>
      <w:pBdr>
        <w:top w:val="nil"/>
        <w:left w:val="nil"/>
        <w:bottom w:val="nil"/>
        <w:right w:val="nil"/>
        <w:between w:val="nil"/>
      </w:pBdr>
      <w:tabs>
        <w:tab w:val="center" w:pos="4680"/>
        <w:tab w:val="right" w:pos="9360"/>
      </w:tabs>
      <w:spacing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AD3"/>
    <w:multiLevelType w:val="multilevel"/>
    <w:tmpl w:val="6A0CB0AC"/>
    <w:lvl w:ilvl="0">
      <w:start w:val="1"/>
      <w:numFmt w:val="decimal"/>
      <w:pStyle w:val="figurecaption"/>
      <w:lvlText w:val="Figure %1. "/>
      <w:lvlJc w:val="left"/>
      <w:pPr>
        <w:ind w:left="0" w:firstLine="0"/>
      </w:pPr>
      <w:rPr>
        <w:rFonts w:ascii="Times New Roman" w:eastAsia="Times New Roman" w:hAnsi="Times New Roman" w:cs="Times New Roman"/>
        <w:b w:val="0"/>
        <w:i w:val="0"/>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F7B91"/>
    <w:multiLevelType w:val="hybridMultilevel"/>
    <w:tmpl w:val="8FC63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932D9"/>
    <w:multiLevelType w:val="multilevel"/>
    <w:tmpl w:val="B6CC50C8"/>
    <w:lvl w:ilvl="0">
      <w:start w:val="1"/>
      <w:numFmt w:val="upperRoman"/>
      <w:pStyle w:val="tablehead"/>
      <w:lvlText w:val="TABLE %1. "/>
      <w:lvlJc w:val="left"/>
      <w:pPr>
        <w:ind w:left="0" w:firstLine="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1B11DCB"/>
    <w:multiLevelType w:val="multilevel"/>
    <w:tmpl w:val="3D4E6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755776"/>
    <w:multiLevelType w:val="multilevel"/>
    <w:tmpl w:val="29A632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BB20DC"/>
    <w:multiLevelType w:val="hybridMultilevel"/>
    <w:tmpl w:val="8556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76110">
    <w:abstractNumId w:val="0"/>
  </w:num>
  <w:num w:numId="2" w16cid:durableId="643854098">
    <w:abstractNumId w:val="2"/>
  </w:num>
  <w:num w:numId="3" w16cid:durableId="706104255">
    <w:abstractNumId w:val="3"/>
  </w:num>
  <w:num w:numId="4" w16cid:durableId="2040425537">
    <w:abstractNumId w:val="5"/>
  </w:num>
  <w:num w:numId="5" w16cid:durableId="148524885">
    <w:abstractNumId w:val="4"/>
  </w:num>
  <w:num w:numId="6" w16cid:durableId="206051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B9"/>
    <w:rsid w:val="000B599E"/>
    <w:rsid w:val="000C09E4"/>
    <w:rsid w:val="000F2B13"/>
    <w:rsid w:val="00104550"/>
    <w:rsid w:val="001558DA"/>
    <w:rsid w:val="001759EB"/>
    <w:rsid w:val="00187CE6"/>
    <w:rsid w:val="001B254F"/>
    <w:rsid w:val="001B35C2"/>
    <w:rsid w:val="001D288E"/>
    <w:rsid w:val="002117B3"/>
    <w:rsid w:val="0026193B"/>
    <w:rsid w:val="00270158"/>
    <w:rsid w:val="00275F5E"/>
    <w:rsid w:val="002872FE"/>
    <w:rsid w:val="002B21BA"/>
    <w:rsid w:val="002E25F7"/>
    <w:rsid w:val="00306140"/>
    <w:rsid w:val="00395947"/>
    <w:rsid w:val="003A2869"/>
    <w:rsid w:val="004428F8"/>
    <w:rsid w:val="00443D2D"/>
    <w:rsid w:val="00455029"/>
    <w:rsid w:val="00461CE1"/>
    <w:rsid w:val="00470725"/>
    <w:rsid w:val="004A47A0"/>
    <w:rsid w:val="004C6B87"/>
    <w:rsid w:val="004E16D8"/>
    <w:rsid w:val="0052206E"/>
    <w:rsid w:val="005A3E39"/>
    <w:rsid w:val="005D72B9"/>
    <w:rsid w:val="005F2978"/>
    <w:rsid w:val="00601528"/>
    <w:rsid w:val="00607FFC"/>
    <w:rsid w:val="006473F9"/>
    <w:rsid w:val="00652B75"/>
    <w:rsid w:val="00693669"/>
    <w:rsid w:val="006B4C3C"/>
    <w:rsid w:val="00724757"/>
    <w:rsid w:val="007334E3"/>
    <w:rsid w:val="0075696A"/>
    <w:rsid w:val="007674FF"/>
    <w:rsid w:val="007A12AB"/>
    <w:rsid w:val="007C4F8B"/>
    <w:rsid w:val="007D56A8"/>
    <w:rsid w:val="007E2DE6"/>
    <w:rsid w:val="008253D1"/>
    <w:rsid w:val="00840F22"/>
    <w:rsid w:val="008727B9"/>
    <w:rsid w:val="008F221B"/>
    <w:rsid w:val="009020E6"/>
    <w:rsid w:val="00907AB2"/>
    <w:rsid w:val="0094630B"/>
    <w:rsid w:val="0097447D"/>
    <w:rsid w:val="00997479"/>
    <w:rsid w:val="009B78EC"/>
    <w:rsid w:val="009E722E"/>
    <w:rsid w:val="00A10194"/>
    <w:rsid w:val="00A34DD1"/>
    <w:rsid w:val="00A46FFF"/>
    <w:rsid w:val="00AB75BC"/>
    <w:rsid w:val="00AC5AEB"/>
    <w:rsid w:val="00B564EB"/>
    <w:rsid w:val="00B71A71"/>
    <w:rsid w:val="00B8315F"/>
    <w:rsid w:val="00BD49C5"/>
    <w:rsid w:val="00C0303A"/>
    <w:rsid w:val="00C03F40"/>
    <w:rsid w:val="00C2465D"/>
    <w:rsid w:val="00C7454A"/>
    <w:rsid w:val="00C90AFB"/>
    <w:rsid w:val="00C973E9"/>
    <w:rsid w:val="00CC6E2B"/>
    <w:rsid w:val="00CE29D4"/>
    <w:rsid w:val="00CF1329"/>
    <w:rsid w:val="00CF41E1"/>
    <w:rsid w:val="00CF5DBA"/>
    <w:rsid w:val="00D60601"/>
    <w:rsid w:val="00D666E3"/>
    <w:rsid w:val="00DF1787"/>
    <w:rsid w:val="00E011CB"/>
    <w:rsid w:val="00E37CDA"/>
    <w:rsid w:val="00E60B59"/>
    <w:rsid w:val="00E63A46"/>
    <w:rsid w:val="00E650CF"/>
    <w:rsid w:val="00E77571"/>
    <w:rsid w:val="00EC2245"/>
    <w:rsid w:val="00F06E39"/>
    <w:rsid w:val="00F423A4"/>
    <w:rsid w:val="00F5708C"/>
    <w:rsid w:val="00F77379"/>
    <w:rsid w:val="00FA54A6"/>
    <w:rsid w:val="00FD3A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0C7E"/>
  <w15:docId w15:val="{2347305C-2BB7-4B5E-B144-B1C927B8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
    <w:name w:val="Abstract"/>
    <w:basedOn w:val="Normal"/>
    <w:next w:val="Normal"/>
    <w:rsid w:val="00D436A7"/>
    <w:pPr>
      <w:autoSpaceDE w:val="0"/>
      <w:autoSpaceDN w:val="0"/>
      <w:spacing w:before="20" w:line="240" w:lineRule="auto"/>
      <w:ind w:firstLine="202"/>
      <w:jc w:val="both"/>
    </w:pPr>
    <w:rPr>
      <w:rFonts w:ascii="Times New Roman" w:eastAsia="Times New Roman" w:hAnsi="Times New Roman" w:cs="Times New Roman"/>
      <w:b/>
      <w:bCs/>
      <w:sz w:val="18"/>
      <w:szCs w:val="18"/>
      <w:lang w:eastAsia="en-US"/>
    </w:rPr>
  </w:style>
  <w:style w:type="paragraph" w:styleId="Header">
    <w:name w:val="header"/>
    <w:basedOn w:val="Normal"/>
    <w:link w:val="HeaderChar"/>
    <w:uiPriority w:val="99"/>
    <w:unhideWhenUsed/>
    <w:rsid w:val="00776294"/>
    <w:pPr>
      <w:tabs>
        <w:tab w:val="center" w:pos="4680"/>
        <w:tab w:val="right" w:pos="9360"/>
      </w:tabs>
      <w:spacing w:line="240" w:lineRule="auto"/>
    </w:pPr>
  </w:style>
  <w:style w:type="character" w:customStyle="1" w:styleId="HeaderChar">
    <w:name w:val="Header Char"/>
    <w:basedOn w:val="DefaultParagraphFont"/>
    <w:link w:val="Header"/>
    <w:uiPriority w:val="99"/>
    <w:rsid w:val="00776294"/>
  </w:style>
  <w:style w:type="paragraph" w:styleId="Footer">
    <w:name w:val="footer"/>
    <w:basedOn w:val="Normal"/>
    <w:link w:val="FooterChar"/>
    <w:uiPriority w:val="99"/>
    <w:unhideWhenUsed/>
    <w:rsid w:val="00776294"/>
    <w:pPr>
      <w:tabs>
        <w:tab w:val="center" w:pos="4680"/>
        <w:tab w:val="right" w:pos="9360"/>
      </w:tabs>
      <w:spacing w:line="240" w:lineRule="auto"/>
    </w:pPr>
  </w:style>
  <w:style w:type="character" w:customStyle="1" w:styleId="FooterChar">
    <w:name w:val="Footer Char"/>
    <w:basedOn w:val="DefaultParagraphFont"/>
    <w:link w:val="Footer"/>
    <w:uiPriority w:val="99"/>
    <w:rsid w:val="00776294"/>
  </w:style>
  <w:style w:type="paragraph" w:customStyle="1" w:styleId="BasicParagraph">
    <w:name w:val="[Basic Paragraph]"/>
    <w:basedOn w:val="Normal"/>
    <w:uiPriority w:val="99"/>
    <w:rsid w:val="00B85AB9"/>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figurecaption">
    <w:name w:val="figure caption"/>
    <w:rsid w:val="002C7789"/>
    <w:pPr>
      <w:numPr>
        <w:numId w:val="1"/>
      </w:numPr>
      <w:spacing w:before="80" w:after="200" w:line="240" w:lineRule="auto"/>
      <w:jc w:val="center"/>
    </w:pPr>
    <w:rPr>
      <w:rFonts w:ascii="Times New Roman" w:eastAsia="SimSun" w:hAnsi="Times New Roman" w:cs="Times New Roman"/>
      <w:noProof/>
      <w:sz w:val="16"/>
      <w:szCs w:val="16"/>
      <w:lang w:eastAsia="en-US"/>
    </w:rPr>
  </w:style>
  <w:style w:type="paragraph" w:customStyle="1" w:styleId="tablecolhead">
    <w:name w:val="table col head"/>
    <w:basedOn w:val="Normal"/>
    <w:rsid w:val="002C7789"/>
    <w:pPr>
      <w:spacing w:line="240" w:lineRule="auto"/>
      <w:jc w:val="center"/>
    </w:pPr>
    <w:rPr>
      <w:rFonts w:ascii="Times New Roman" w:eastAsia="SimSun" w:hAnsi="Times New Roman" w:cs="Times New Roman"/>
      <w:b/>
      <w:bCs/>
      <w:sz w:val="16"/>
      <w:szCs w:val="16"/>
      <w:lang w:eastAsia="en-US"/>
    </w:rPr>
  </w:style>
  <w:style w:type="paragraph" w:customStyle="1" w:styleId="tablecolsubhead">
    <w:name w:val="table col subhead"/>
    <w:basedOn w:val="tablecolhead"/>
    <w:rsid w:val="002C7789"/>
    <w:rPr>
      <w:i/>
      <w:iCs/>
      <w:sz w:val="15"/>
      <w:szCs w:val="15"/>
    </w:rPr>
  </w:style>
  <w:style w:type="paragraph" w:customStyle="1" w:styleId="tablecopy">
    <w:name w:val="table copy"/>
    <w:rsid w:val="002C7789"/>
    <w:pPr>
      <w:spacing w:line="240" w:lineRule="auto"/>
      <w:jc w:val="both"/>
    </w:pPr>
    <w:rPr>
      <w:rFonts w:ascii="Times New Roman" w:eastAsia="SimSun" w:hAnsi="Times New Roman" w:cs="Times New Roman"/>
      <w:noProof/>
      <w:sz w:val="16"/>
      <w:szCs w:val="16"/>
      <w:lang w:eastAsia="en-US"/>
    </w:rPr>
  </w:style>
  <w:style w:type="paragraph" w:customStyle="1" w:styleId="tablefootnote">
    <w:name w:val="table footnote"/>
    <w:rsid w:val="002C7789"/>
    <w:pPr>
      <w:spacing w:before="60" w:after="30" w:line="240" w:lineRule="auto"/>
      <w:jc w:val="right"/>
    </w:pPr>
    <w:rPr>
      <w:rFonts w:ascii="Times New Roman" w:eastAsia="SimSun" w:hAnsi="Times New Roman" w:cs="Times New Roman"/>
      <w:sz w:val="12"/>
      <w:szCs w:val="12"/>
      <w:lang w:eastAsia="en-US"/>
    </w:rPr>
  </w:style>
  <w:style w:type="paragraph" w:customStyle="1" w:styleId="tablehead">
    <w:name w:val="table head"/>
    <w:rsid w:val="002C7789"/>
    <w:pPr>
      <w:numPr>
        <w:numId w:val="2"/>
      </w:numPr>
      <w:spacing w:before="240" w:after="120" w:line="216" w:lineRule="auto"/>
      <w:jc w:val="center"/>
    </w:pPr>
    <w:rPr>
      <w:rFonts w:ascii="Times New Roman" w:eastAsia="SimSun" w:hAnsi="Times New Roman" w:cs="Times New Roman"/>
      <w:smallCaps/>
      <w:noProof/>
      <w:sz w:val="16"/>
      <w:szCs w:val="16"/>
      <w:lang w:eastAsia="en-US"/>
    </w:rPr>
  </w:style>
  <w:style w:type="paragraph" w:styleId="NormalWeb">
    <w:name w:val="Normal (Web)"/>
    <w:basedOn w:val="Normal"/>
    <w:uiPriority w:val="99"/>
    <w:semiHidden/>
    <w:unhideWhenUsed/>
    <w:rsid w:val="00463B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63BE8"/>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3BE8"/>
    <w:rPr>
      <w:rFonts w:asciiTheme="minorHAnsi" w:eastAsiaTheme="minorEastAsia" w:hAnsiTheme="minorHAnsi" w:cstheme="minorBidi"/>
      <w:lang w:eastAsia="zh-CN"/>
    </w:rPr>
  </w:style>
  <w:style w:type="paragraph" w:styleId="ListParagraph">
    <w:name w:val="List Paragraph"/>
    <w:basedOn w:val="Normal"/>
    <w:uiPriority w:val="34"/>
    <w:qFormat/>
    <w:rsid w:val="00473D4B"/>
    <w:pPr>
      <w:ind w:left="720"/>
      <w:contextualSpacing/>
    </w:pPr>
  </w:style>
  <w:style w:type="paragraph" w:styleId="BalloonText">
    <w:name w:val="Balloon Text"/>
    <w:basedOn w:val="Normal"/>
    <w:link w:val="BalloonTextChar"/>
    <w:uiPriority w:val="99"/>
    <w:semiHidden/>
    <w:unhideWhenUsed/>
    <w:rsid w:val="00FE30D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30DB"/>
    <w:rPr>
      <w:rFonts w:ascii="Times New Roman" w:hAnsi="Times New Roman" w:cs="Times New Roman"/>
      <w:sz w:val="18"/>
      <w:szCs w:val="1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693669"/>
    <w:pPr>
      <w:spacing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693669"/>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693669"/>
    <w:rPr>
      <w:sz w:val="16"/>
      <w:szCs w:val="16"/>
    </w:rPr>
  </w:style>
  <w:style w:type="paragraph" w:styleId="CommentSubject">
    <w:name w:val="annotation subject"/>
    <w:basedOn w:val="CommentText"/>
    <w:next w:val="CommentText"/>
    <w:link w:val="CommentSubjectChar"/>
    <w:uiPriority w:val="99"/>
    <w:semiHidden/>
    <w:unhideWhenUsed/>
    <w:rsid w:val="00693669"/>
    <w:rPr>
      <w:b/>
      <w:bCs/>
    </w:rPr>
  </w:style>
  <w:style w:type="character" w:customStyle="1" w:styleId="CommentSubjectChar">
    <w:name w:val="Comment Subject Char"/>
    <w:basedOn w:val="CommentTextChar"/>
    <w:link w:val="CommentSubject"/>
    <w:uiPriority w:val="99"/>
    <w:semiHidden/>
    <w:rsid w:val="00693669"/>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693669"/>
    <w:rPr>
      <w:color w:val="0000FF" w:themeColor="hyperlink"/>
      <w:u w:val="single"/>
    </w:rPr>
  </w:style>
  <w:style w:type="character" w:styleId="UnresolvedMention">
    <w:name w:val="Unresolved Mention"/>
    <w:basedOn w:val="DefaultParagraphFont"/>
    <w:uiPriority w:val="99"/>
    <w:semiHidden/>
    <w:unhideWhenUsed/>
    <w:rsid w:val="00693669"/>
    <w:rPr>
      <w:color w:val="605E5C"/>
      <w:shd w:val="clear" w:color="auto" w:fill="E1DFDD"/>
    </w:rPr>
  </w:style>
  <w:style w:type="table" w:styleId="TableGrid">
    <w:name w:val="Table Grid"/>
    <w:basedOn w:val="TableNormal"/>
    <w:uiPriority w:val="39"/>
    <w:rsid w:val="006936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67795">
      <w:bodyDiv w:val="1"/>
      <w:marLeft w:val="0"/>
      <w:marRight w:val="0"/>
      <w:marTop w:val="0"/>
      <w:marBottom w:val="0"/>
      <w:divBdr>
        <w:top w:val="none" w:sz="0" w:space="0" w:color="auto"/>
        <w:left w:val="none" w:sz="0" w:space="0" w:color="auto"/>
        <w:bottom w:val="none" w:sz="0" w:space="0" w:color="auto"/>
        <w:right w:val="none" w:sz="0" w:space="0" w:color="auto"/>
      </w:divBdr>
    </w:div>
    <w:div w:id="1761827100">
      <w:bodyDiv w:val="1"/>
      <w:marLeft w:val="0"/>
      <w:marRight w:val="0"/>
      <w:marTop w:val="0"/>
      <w:marBottom w:val="0"/>
      <w:divBdr>
        <w:top w:val="none" w:sz="0" w:space="0" w:color="auto"/>
        <w:left w:val="none" w:sz="0" w:space="0" w:color="auto"/>
        <w:bottom w:val="none" w:sz="0" w:space="0" w:color="auto"/>
        <w:right w:val="none" w:sz="0" w:space="0" w:color="auto"/>
      </w:divBdr>
    </w:div>
    <w:div w:id="1882785784">
      <w:bodyDiv w:val="1"/>
      <w:marLeft w:val="0"/>
      <w:marRight w:val="0"/>
      <w:marTop w:val="0"/>
      <w:marBottom w:val="0"/>
      <w:divBdr>
        <w:top w:val="none" w:sz="0" w:space="0" w:color="auto"/>
        <w:left w:val="none" w:sz="0" w:space="0" w:color="auto"/>
        <w:bottom w:val="none" w:sz="0" w:space="0" w:color="auto"/>
        <w:right w:val="none" w:sz="0" w:space="0" w:color="auto"/>
      </w:divBdr>
    </w:div>
    <w:div w:id="202894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ntd.00090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99C9304BFB4C3F9F32BCF5890F3F8D"/>
        <w:category>
          <w:name w:val="General"/>
          <w:gallery w:val="placeholder"/>
        </w:category>
        <w:types>
          <w:type w:val="bbPlcHdr"/>
        </w:types>
        <w:behaviors>
          <w:behavior w:val="content"/>
        </w:behaviors>
        <w:guid w:val="{5A2AF841-DC7D-4B4C-ABD0-B6172E6E1968}"/>
      </w:docPartPr>
      <w:docPartBody>
        <w:p w:rsidR="008971FD" w:rsidRDefault="00CA7A65" w:rsidP="00CA7A65">
          <w:pPr>
            <w:pStyle w:val="1699C9304BFB4C3F9F32BCF5890F3F8D"/>
          </w:pPr>
          <w:r w:rsidRPr="008A25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65"/>
    <w:rsid w:val="002A2792"/>
    <w:rsid w:val="004A47A0"/>
    <w:rsid w:val="00724757"/>
    <w:rsid w:val="0075696A"/>
    <w:rsid w:val="007674FF"/>
    <w:rsid w:val="00770C09"/>
    <w:rsid w:val="00826257"/>
    <w:rsid w:val="008971FD"/>
    <w:rsid w:val="00C151CA"/>
    <w:rsid w:val="00CA7A65"/>
    <w:rsid w:val="00D07107"/>
    <w:rsid w:val="00F9512D"/>
    <w:rsid w:val="00FA54A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A7A65"/>
    <w:rPr>
      <w:color w:val="808080"/>
    </w:rPr>
  </w:style>
  <w:style w:type="paragraph" w:customStyle="1" w:styleId="1699C9304BFB4C3F9F32BCF5890F3F8D">
    <w:name w:val="1699C9304BFB4C3F9F32BCF5890F3F8D"/>
    <w:rsid w:val="00CA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NqvVnW6RlK9Ic3gWmSf5Qi1nGQ==">AMUW2mXoP8iGQRVQ4Nwp9fh3sxc9nAcfm1brfElsEnW4HpYMr9wCaq35ROuLX/M4n5nCXWgwU91sHh650Nc+7i+w2iLBe2TNP1zOxJfHbrzZ/67Sfwm+uZU=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7643</Words>
  <Characters>43569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Tian</dc:creator>
  <cp:keywords/>
  <dc:description/>
  <cp:lastModifiedBy>Chelsea S</cp:lastModifiedBy>
  <cp:revision>3</cp:revision>
  <cp:lastPrinted>2025-03-14T19:18:00Z</cp:lastPrinted>
  <dcterms:created xsi:type="dcterms:W3CDTF">2025-04-06T22:28:00Z</dcterms:created>
  <dcterms:modified xsi:type="dcterms:W3CDTF">2025-04-06T22:30:00Z</dcterms:modified>
</cp:coreProperties>
</file>